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75" w:rsidRPr="00C8212A" w:rsidRDefault="00994A75" w:rsidP="00994A75">
      <w:pPr>
        <w:tabs>
          <w:tab w:val="left" w:pos="1560"/>
        </w:tabs>
        <w:rPr>
          <w:rFonts w:cs="Arial"/>
          <w:b/>
          <w:sz w:val="28"/>
          <w:szCs w:val="28"/>
        </w:rPr>
      </w:pPr>
      <w:bookmarkStart w:id="0" w:name="_GoBack"/>
      <w:bookmarkEnd w:id="0"/>
      <w:r w:rsidRPr="00C8212A">
        <w:rPr>
          <w:b/>
          <w:noProof/>
          <w:lang w:eastAsia="en-GB"/>
        </w:rPr>
        <w:drawing>
          <wp:anchor distT="0" distB="0" distL="114300" distR="114300" simplePos="0" relativeHeight="251658240" behindDoc="0" locked="0" layoutInCell="1" allowOverlap="1" wp14:anchorId="784F16AB" wp14:editId="0D259170">
            <wp:simplePos x="0" y="0"/>
            <wp:positionH relativeFrom="margin">
              <wp:posOffset>32385</wp:posOffset>
            </wp:positionH>
            <wp:positionV relativeFrom="margin">
              <wp:posOffset>-234315</wp:posOffset>
            </wp:positionV>
            <wp:extent cx="755015" cy="789940"/>
            <wp:effectExtent l="0" t="0" r="698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015" cy="789940"/>
                    </a:xfrm>
                    <a:prstGeom prst="rect">
                      <a:avLst/>
                    </a:prstGeom>
                  </pic:spPr>
                </pic:pic>
              </a:graphicData>
            </a:graphic>
          </wp:anchor>
        </w:drawing>
      </w:r>
      <w:r w:rsidR="002E4878" w:rsidRPr="00C8212A">
        <w:rPr>
          <w:rFonts w:cs="Arial"/>
          <w:b/>
          <w:sz w:val="28"/>
          <w:szCs w:val="28"/>
        </w:rPr>
        <w:t>BU</w:t>
      </w:r>
      <w:r w:rsidR="00B674A0">
        <w:rPr>
          <w:rFonts w:cs="Arial"/>
          <w:b/>
          <w:sz w:val="28"/>
          <w:szCs w:val="28"/>
        </w:rPr>
        <w:t xml:space="preserve"> scheme</w:t>
      </w:r>
      <w:r w:rsidR="009527B5">
        <w:rPr>
          <w:rFonts w:cs="Arial"/>
          <w:b/>
          <w:sz w:val="28"/>
          <w:szCs w:val="28"/>
        </w:rPr>
        <w:t xml:space="preserve"> to provide</w:t>
      </w:r>
      <w:r w:rsidR="00091892">
        <w:rPr>
          <w:rFonts w:cs="Arial"/>
          <w:b/>
          <w:sz w:val="28"/>
          <w:szCs w:val="28"/>
        </w:rPr>
        <w:t xml:space="preserve"> incentive of</w:t>
      </w:r>
      <w:r w:rsidR="009527B5">
        <w:rPr>
          <w:rFonts w:cs="Arial"/>
          <w:b/>
          <w:sz w:val="28"/>
          <w:szCs w:val="28"/>
        </w:rPr>
        <w:t xml:space="preserve"> 5% of recognised income on large research</w:t>
      </w:r>
      <w:r w:rsidR="00B115AB">
        <w:rPr>
          <w:rFonts w:cs="Arial"/>
          <w:b/>
          <w:sz w:val="28"/>
          <w:szCs w:val="28"/>
        </w:rPr>
        <w:t xml:space="preserve"> awards </w:t>
      </w:r>
      <w:r w:rsidR="008F2589">
        <w:rPr>
          <w:rFonts w:cs="Arial"/>
          <w:b/>
          <w:sz w:val="28"/>
          <w:szCs w:val="28"/>
        </w:rPr>
        <w:t>to</w:t>
      </w:r>
      <w:r w:rsidR="00B115AB">
        <w:rPr>
          <w:rFonts w:cs="Arial"/>
          <w:b/>
          <w:sz w:val="28"/>
          <w:szCs w:val="28"/>
        </w:rPr>
        <w:t xml:space="preserve"> Individual Staff Research Account</w:t>
      </w:r>
      <w:r w:rsidR="008F2589">
        <w:rPr>
          <w:rFonts w:cs="Arial"/>
          <w:b/>
          <w:sz w:val="28"/>
          <w:szCs w:val="28"/>
        </w:rPr>
        <w:t>s</w:t>
      </w:r>
      <w:r w:rsidR="00B115AB">
        <w:rPr>
          <w:rFonts w:cs="Arial"/>
          <w:b/>
          <w:sz w:val="28"/>
          <w:szCs w:val="28"/>
        </w:rPr>
        <w:t xml:space="preserve"> (ISRA</w:t>
      </w:r>
      <w:r w:rsidR="008F2589">
        <w:rPr>
          <w:rFonts w:cs="Arial"/>
          <w:b/>
          <w:sz w:val="28"/>
          <w:szCs w:val="28"/>
        </w:rPr>
        <w:t>s</w:t>
      </w:r>
      <w:r w:rsidR="00B115AB">
        <w:rPr>
          <w:rFonts w:cs="Arial"/>
          <w:b/>
          <w:sz w:val="28"/>
          <w:szCs w:val="28"/>
        </w:rPr>
        <w:t>)</w:t>
      </w:r>
    </w:p>
    <w:p w:rsidR="00994A75" w:rsidRPr="00C8212A" w:rsidRDefault="00994A75" w:rsidP="00C8212A">
      <w:pPr>
        <w:tabs>
          <w:tab w:val="left" w:pos="1560"/>
        </w:tabs>
        <w:spacing w:line="240" w:lineRule="auto"/>
        <w:ind w:left="798"/>
        <w:rPr>
          <w:rFonts w:cs="Arial"/>
        </w:rPr>
      </w:pPr>
      <w:r w:rsidRPr="00C8212A">
        <w:rPr>
          <w:rFonts w:cstheme="minorHAnsi"/>
        </w:rPr>
        <w:tab/>
      </w:r>
    </w:p>
    <w:p w:rsidR="00B674A0" w:rsidRPr="00B674A0" w:rsidRDefault="00B674A0" w:rsidP="003B663C">
      <w:pPr>
        <w:rPr>
          <w:rFonts w:cs="Arial"/>
          <w:b/>
        </w:rPr>
      </w:pPr>
      <w:r>
        <w:rPr>
          <w:rFonts w:cs="Arial"/>
          <w:b/>
        </w:rPr>
        <w:t xml:space="preserve">1. </w:t>
      </w:r>
      <w:r w:rsidRPr="00B674A0">
        <w:rPr>
          <w:rFonts w:cs="Arial"/>
          <w:b/>
        </w:rPr>
        <w:t>Purpose of the scheme</w:t>
      </w:r>
    </w:p>
    <w:p w:rsidR="00B674A0" w:rsidRDefault="00921647" w:rsidP="003B663C">
      <w:pPr>
        <w:rPr>
          <w:rFonts w:cs="Arial"/>
        </w:rPr>
      </w:pPr>
      <w:r>
        <w:rPr>
          <w:rFonts w:cs="Arial"/>
        </w:rPr>
        <w:t xml:space="preserve">This scheme provides an incentive payment of 5% of </w:t>
      </w:r>
      <w:r w:rsidR="00091892">
        <w:rPr>
          <w:rFonts w:cs="Arial"/>
        </w:rPr>
        <w:t>recognised income arising from</w:t>
      </w:r>
      <w:r>
        <w:rPr>
          <w:rFonts w:cs="Arial"/>
        </w:rPr>
        <w:t xml:space="preserve"> large</w:t>
      </w:r>
      <w:r w:rsidR="00091892">
        <w:rPr>
          <w:rFonts w:cs="Arial"/>
        </w:rPr>
        <w:t xml:space="preserve"> single</w:t>
      </w:r>
      <w:r>
        <w:rPr>
          <w:rFonts w:cs="Arial"/>
        </w:rPr>
        <w:t xml:space="preserve"> research </w:t>
      </w:r>
      <w:r w:rsidR="00091892">
        <w:rPr>
          <w:rFonts w:cs="Arial"/>
        </w:rPr>
        <w:t xml:space="preserve">projects </w:t>
      </w:r>
      <w:r>
        <w:rPr>
          <w:rFonts w:cs="Arial"/>
        </w:rPr>
        <w:t>or</w:t>
      </w:r>
      <w:r w:rsidR="00091892">
        <w:rPr>
          <w:rFonts w:cs="Arial"/>
        </w:rPr>
        <w:t xml:space="preserve"> -</w:t>
      </w:r>
      <w:r>
        <w:rPr>
          <w:rFonts w:cs="Arial"/>
        </w:rPr>
        <w:t xml:space="preserve"> in a given </w:t>
      </w:r>
      <w:r w:rsidR="002521F1" w:rsidRPr="009C78A6">
        <w:rPr>
          <w:rFonts w:cs="Arial"/>
        </w:rPr>
        <w:t>financial year</w:t>
      </w:r>
      <w:r w:rsidR="002521F1" w:rsidRPr="009C78A6">
        <w:rPr>
          <w:rStyle w:val="FootnoteReference"/>
          <w:rFonts w:cs="Arial"/>
        </w:rPr>
        <w:footnoteReference w:id="1"/>
      </w:r>
      <w:r>
        <w:rPr>
          <w:rFonts w:cs="Arial"/>
        </w:rPr>
        <w:t xml:space="preserve"> </w:t>
      </w:r>
      <w:r w:rsidR="00091892">
        <w:rPr>
          <w:rFonts w:cs="Arial"/>
        </w:rPr>
        <w:t>-</w:t>
      </w:r>
      <w:r w:rsidR="00CE65F3">
        <w:rPr>
          <w:rFonts w:cs="Arial"/>
        </w:rPr>
        <w:t xml:space="preserve"> a</w:t>
      </w:r>
      <w:r w:rsidR="00091892">
        <w:rPr>
          <w:rFonts w:cs="Arial"/>
        </w:rPr>
        <w:t xml:space="preserve"> </w:t>
      </w:r>
      <w:r>
        <w:rPr>
          <w:rFonts w:cs="Arial"/>
        </w:rPr>
        <w:t xml:space="preserve">cumulatively large </w:t>
      </w:r>
      <w:r w:rsidR="00091892">
        <w:rPr>
          <w:rFonts w:cs="Arial"/>
        </w:rPr>
        <w:t xml:space="preserve">total of </w:t>
      </w:r>
      <w:r w:rsidR="00771187">
        <w:rPr>
          <w:rFonts w:cs="Arial"/>
        </w:rPr>
        <w:t xml:space="preserve">research </w:t>
      </w:r>
      <w:r>
        <w:rPr>
          <w:rFonts w:cs="Arial"/>
        </w:rPr>
        <w:t>awa</w:t>
      </w:r>
      <w:r w:rsidR="0080685C">
        <w:rPr>
          <w:rFonts w:cs="Arial"/>
        </w:rPr>
        <w:t>rds</w:t>
      </w:r>
      <w:r w:rsidR="00091892">
        <w:rPr>
          <w:rFonts w:cs="Arial"/>
        </w:rPr>
        <w:t xml:space="preserve">.  </w:t>
      </w:r>
    </w:p>
    <w:p w:rsidR="00921647" w:rsidRPr="00B674A0" w:rsidRDefault="00921647" w:rsidP="003B663C">
      <w:pPr>
        <w:rPr>
          <w:rFonts w:cs="Arial"/>
        </w:rPr>
      </w:pPr>
      <w:r>
        <w:rPr>
          <w:rFonts w:cs="Arial"/>
        </w:rPr>
        <w:t>The scheme aims to</w:t>
      </w:r>
      <w:r w:rsidR="0023361F">
        <w:rPr>
          <w:rFonts w:cs="Arial"/>
        </w:rPr>
        <w:t>:</w:t>
      </w:r>
    </w:p>
    <w:p w:rsidR="007A4110" w:rsidRPr="00B674A0" w:rsidRDefault="00921647" w:rsidP="00B674A0">
      <w:pPr>
        <w:pStyle w:val="ListParagraph"/>
        <w:numPr>
          <w:ilvl w:val="0"/>
          <w:numId w:val="5"/>
        </w:numPr>
        <w:rPr>
          <w:rFonts w:cs="Arial"/>
        </w:rPr>
      </w:pPr>
      <w:r>
        <w:rPr>
          <w:rFonts w:cs="Arial"/>
        </w:rPr>
        <w:t>provide an incentive to successful academics to obtain and build on large awards</w:t>
      </w:r>
      <w:r w:rsidR="0023361F">
        <w:rPr>
          <w:rFonts w:cs="Arial"/>
        </w:rPr>
        <w:t>;</w:t>
      </w:r>
    </w:p>
    <w:p w:rsidR="00B674A0" w:rsidRPr="00B674A0" w:rsidRDefault="00B674A0" w:rsidP="00B674A0">
      <w:pPr>
        <w:pStyle w:val="ListParagraph"/>
        <w:numPr>
          <w:ilvl w:val="0"/>
          <w:numId w:val="5"/>
        </w:numPr>
        <w:rPr>
          <w:rFonts w:cs="Arial"/>
        </w:rPr>
      </w:pPr>
      <w:r w:rsidRPr="00B674A0">
        <w:rPr>
          <w:rFonts w:cs="Arial"/>
        </w:rPr>
        <w:t>build re</w:t>
      </w:r>
      <w:r w:rsidR="00921647">
        <w:rPr>
          <w:rFonts w:cs="Arial"/>
        </w:rPr>
        <w:t>search capacity and capability by providing funds to individuals t</w:t>
      </w:r>
      <w:r w:rsidR="000D6E59">
        <w:rPr>
          <w:rFonts w:cs="Arial"/>
        </w:rPr>
        <w:t>o invest in</w:t>
      </w:r>
      <w:r w:rsidR="00921647">
        <w:rPr>
          <w:rFonts w:cs="Arial"/>
        </w:rPr>
        <w:t xml:space="preserve"> areas of research that have already proven successful</w:t>
      </w:r>
      <w:r w:rsidR="00DB4A66">
        <w:rPr>
          <w:rFonts w:cs="Arial"/>
        </w:rPr>
        <w:t xml:space="preserve"> and where further bidding may be generated</w:t>
      </w:r>
      <w:r w:rsidR="000D6E59">
        <w:rPr>
          <w:rFonts w:cs="Arial"/>
        </w:rPr>
        <w:t>;</w:t>
      </w:r>
    </w:p>
    <w:p w:rsidR="00B674A0" w:rsidRDefault="00921647" w:rsidP="00B674A0">
      <w:pPr>
        <w:pStyle w:val="ListParagraph"/>
        <w:numPr>
          <w:ilvl w:val="0"/>
          <w:numId w:val="5"/>
        </w:numPr>
        <w:rPr>
          <w:rFonts w:cs="Arial"/>
        </w:rPr>
      </w:pPr>
      <w:r>
        <w:rPr>
          <w:rFonts w:cs="Arial"/>
        </w:rPr>
        <w:t>provide flexibility and longer-term funding to enabl</w:t>
      </w:r>
      <w:r w:rsidR="00DB4A66">
        <w:rPr>
          <w:rFonts w:cs="Arial"/>
        </w:rPr>
        <w:t>e forward planning and expansion</w:t>
      </w:r>
      <w:r w:rsidR="000D6E59">
        <w:rPr>
          <w:rFonts w:cs="Arial"/>
        </w:rPr>
        <w:t>;</w:t>
      </w:r>
    </w:p>
    <w:p w:rsidR="00DB4A66" w:rsidRPr="00B674A0" w:rsidRDefault="000D6E59" w:rsidP="00B674A0">
      <w:pPr>
        <w:pStyle w:val="ListParagraph"/>
        <w:numPr>
          <w:ilvl w:val="0"/>
          <w:numId w:val="5"/>
        </w:numPr>
        <w:rPr>
          <w:rFonts w:cs="Arial"/>
        </w:rPr>
      </w:pPr>
      <w:proofErr w:type="gramStart"/>
      <w:r>
        <w:rPr>
          <w:rFonts w:cs="Arial"/>
        </w:rPr>
        <w:t>provide</w:t>
      </w:r>
      <w:proofErr w:type="gramEnd"/>
      <w:r>
        <w:rPr>
          <w:rFonts w:cs="Arial"/>
        </w:rPr>
        <w:t xml:space="preserve"> flexibility of choice </w:t>
      </w:r>
      <w:r w:rsidR="00091892">
        <w:rPr>
          <w:rFonts w:cs="Arial"/>
        </w:rPr>
        <w:t xml:space="preserve">as </w:t>
      </w:r>
      <w:r w:rsidR="00DB4A66">
        <w:rPr>
          <w:rFonts w:cs="Arial"/>
        </w:rPr>
        <w:t xml:space="preserve">the funds may be used by individuals directly or, at their discretion, with colleagues and collaborators within different research entities (departments, centres etc.) or </w:t>
      </w:r>
      <w:r w:rsidR="00091892">
        <w:rPr>
          <w:rFonts w:cs="Arial"/>
        </w:rPr>
        <w:t>to engage with external collaborators</w:t>
      </w:r>
      <w:r>
        <w:rPr>
          <w:rFonts w:cs="Arial"/>
        </w:rPr>
        <w:t>.</w:t>
      </w:r>
    </w:p>
    <w:p w:rsidR="00B674A0" w:rsidRDefault="00771187" w:rsidP="003B663C">
      <w:pPr>
        <w:rPr>
          <w:rFonts w:cs="Arial"/>
        </w:rPr>
      </w:pPr>
      <w:r>
        <w:rPr>
          <w:rFonts w:cs="Arial"/>
        </w:rPr>
        <w:t>As part of the BU2025 plan, t</w:t>
      </w:r>
      <w:r w:rsidR="00DB4A66">
        <w:rPr>
          <w:rFonts w:cs="Arial"/>
        </w:rPr>
        <w:t xml:space="preserve">he </w:t>
      </w:r>
      <w:r w:rsidR="008F2589">
        <w:rPr>
          <w:rFonts w:cs="Arial"/>
        </w:rPr>
        <w:t>University aims</w:t>
      </w:r>
      <w:r>
        <w:rPr>
          <w:rFonts w:cs="Arial"/>
        </w:rPr>
        <w:t xml:space="preserve"> </w:t>
      </w:r>
      <w:r w:rsidR="00DB4A66">
        <w:rPr>
          <w:rFonts w:cs="Arial"/>
        </w:rPr>
        <w:t xml:space="preserve">to encourage larger and longer </w:t>
      </w:r>
      <w:r>
        <w:rPr>
          <w:rFonts w:cs="Arial"/>
        </w:rPr>
        <w:t xml:space="preserve">research </w:t>
      </w:r>
      <w:r w:rsidR="00DB4A66">
        <w:rPr>
          <w:rFonts w:cs="Arial"/>
        </w:rPr>
        <w:t xml:space="preserve">awards.  </w:t>
      </w:r>
      <w:r w:rsidR="00CE65F3">
        <w:rPr>
          <w:rFonts w:cs="Arial"/>
        </w:rPr>
        <w:t xml:space="preserve">Often, the sponsors who </w:t>
      </w:r>
      <w:r w:rsidR="00DB4A66">
        <w:rPr>
          <w:rFonts w:cs="Arial"/>
        </w:rPr>
        <w:t>provide these larger aw</w:t>
      </w:r>
      <w:r w:rsidR="00CE65F3">
        <w:rPr>
          <w:rFonts w:cs="Arial"/>
        </w:rPr>
        <w:t xml:space="preserve">ards are considered prestigious and </w:t>
      </w:r>
      <w:r w:rsidR="00DB4A66">
        <w:rPr>
          <w:rFonts w:cs="Arial"/>
        </w:rPr>
        <w:t xml:space="preserve"> have clear long-term programmes of activity that align with BU2025 ambitions</w:t>
      </w:r>
      <w:r w:rsidR="00CE65F3">
        <w:rPr>
          <w:rFonts w:cs="Arial"/>
        </w:rPr>
        <w:t xml:space="preserve">; </w:t>
      </w:r>
      <w:r w:rsidR="00DB4A66">
        <w:rPr>
          <w:rFonts w:cs="Arial"/>
        </w:rPr>
        <w:t xml:space="preserve">BU’s increase in </w:t>
      </w:r>
      <w:r>
        <w:rPr>
          <w:rFonts w:cs="Arial"/>
        </w:rPr>
        <w:t xml:space="preserve">research funding from sponsors such as the UK research councils and the </w:t>
      </w:r>
      <w:r w:rsidR="00DB4A66">
        <w:rPr>
          <w:rFonts w:cs="Arial"/>
        </w:rPr>
        <w:t>EU</w:t>
      </w:r>
      <w:r w:rsidR="00B115AB">
        <w:rPr>
          <w:rFonts w:cs="Arial"/>
        </w:rPr>
        <w:t xml:space="preserve"> over recent </w:t>
      </w:r>
      <w:r w:rsidR="00CE65F3">
        <w:rPr>
          <w:rFonts w:cs="Arial"/>
        </w:rPr>
        <w:t>years demonstrates these sponsors</w:t>
      </w:r>
      <w:r w:rsidR="00B115AB">
        <w:rPr>
          <w:rFonts w:cs="Arial"/>
        </w:rPr>
        <w:t xml:space="preserve"> can be </w:t>
      </w:r>
      <w:r w:rsidR="00DB4A66">
        <w:rPr>
          <w:rFonts w:cs="Arial"/>
        </w:rPr>
        <w:t>successfully targeted.</w:t>
      </w:r>
    </w:p>
    <w:p w:rsidR="001D6484" w:rsidRDefault="00576362" w:rsidP="003B663C">
      <w:pPr>
        <w:rPr>
          <w:rFonts w:cs="Arial"/>
        </w:rPr>
      </w:pPr>
      <w:r>
        <w:rPr>
          <w:rFonts w:cs="Arial"/>
        </w:rPr>
        <w:t>W</w:t>
      </w:r>
      <w:r w:rsidR="00091892">
        <w:t xml:space="preserve">ith a clear purpose of encouraging and rewarding </w:t>
      </w:r>
      <w:r w:rsidR="003F458A">
        <w:t>larger projects across</w:t>
      </w:r>
      <w:r w:rsidR="00CE65F3">
        <w:t xml:space="preserve"> broad areas of the university</w:t>
      </w:r>
      <w:r>
        <w:t xml:space="preserve"> the scheme </w:t>
      </w:r>
      <w:r w:rsidR="003F458A">
        <w:t>will cover all research awards (as coded in RED)</w:t>
      </w:r>
      <w:r w:rsidR="003F458A">
        <w:rPr>
          <w:rStyle w:val="FootnoteReference"/>
        </w:rPr>
        <w:footnoteReference w:id="2"/>
      </w:r>
      <w:r w:rsidR="003F458A">
        <w:t xml:space="preserve"> that fall within the income parameters</w:t>
      </w:r>
      <w:r w:rsidR="001D6484">
        <w:rPr>
          <w:rFonts w:cs="Arial"/>
        </w:rPr>
        <w:t>.</w:t>
      </w:r>
    </w:p>
    <w:p w:rsidR="003F458A" w:rsidRPr="00B115AB" w:rsidRDefault="00CE65F3" w:rsidP="003B663C">
      <w:pPr>
        <w:rPr>
          <w:rFonts w:cs="Arial"/>
        </w:rPr>
      </w:pPr>
      <w:r>
        <w:rPr>
          <w:rFonts w:cs="Arial"/>
        </w:rPr>
        <w:t xml:space="preserve">Recognising that funding </w:t>
      </w:r>
      <w:r w:rsidR="00576362">
        <w:rPr>
          <w:rFonts w:cs="Arial"/>
        </w:rPr>
        <w:t xml:space="preserve">Early Career Researchers (ECR) </w:t>
      </w:r>
      <w:r>
        <w:rPr>
          <w:rFonts w:cs="Arial"/>
        </w:rPr>
        <w:t>can apply for is often less than that available for more experienced staff the scheme has two tiers.</w:t>
      </w:r>
    </w:p>
    <w:p w:rsidR="00B674A0" w:rsidRPr="00B674A0" w:rsidRDefault="00B674A0" w:rsidP="003B663C">
      <w:pPr>
        <w:rPr>
          <w:rFonts w:cs="Arial"/>
          <w:b/>
        </w:rPr>
      </w:pPr>
      <w:r>
        <w:rPr>
          <w:rFonts w:cs="Arial"/>
          <w:b/>
        </w:rPr>
        <w:t xml:space="preserve">2. Scheme </w:t>
      </w:r>
      <w:r w:rsidR="00B115AB">
        <w:rPr>
          <w:rFonts w:cs="Arial"/>
          <w:b/>
        </w:rPr>
        <w:t>overview</w:t>
      </w:r>
    </w:p>
    <w:p w:rsidR="00B115AB" w:rsidRDefault="000D6E59" w:rsidP="003B663C">
      <w:pPr>
        <w:rPr>
          <w:rFonts w:cs="Arial"/>
        </w:rPr>
      </w:pPr>
      <w:r>
        <w:rPr>
          <w:rFonts w:cs="Arial"/>
        </w:rPr>
        <w:t>For ECR tier</w:t>
      </w:r>
      <w:r w:rsidR="00560BB9">
        <w:rPr>
          <w:rStyle w:val="FootnoteReference"/>
          <w:rFonts w:cs="Arial"/>
        </w:rPr>
        <w:footnoteReference w:id="3"/>
      </w:r>
      <w:r w:rsidR="00B115AB">
        <w:rPr>
          <w:rFonts w:cs="Arial"/>
        </w:rPr>
        <w:t>:</w:t>
      </w:r>
    </w:p>
    <w:p w:rsidR="00B115AB" w:rsidRDefault="00B115AB" w:rsidP="003B663C">
      <w:pPr>
        <w:rPr>
          <w:rFonts w:cs="Arial"/>
        </w:rPr>
      </w:pPr>
      <w:proofErr w:type="gramStart"/>
      <w:r>
        <w:rPr>
          <w:rFonts w:cs="Arial"/>
        </w:rPr>
        <w:t xml:space="preserve">In a given financial year, where an ECR receives eligible individual awards of a value greater than </w:t>
      </w:r>
      <w:r w:rsidR="00115A97">
        <w:rPr>
          <w:rFonts w:cs="Arial"/>
        </w:rPr>
        <w:t>£</w:t>
      </w:r>
      <w:r>
        <w:rPr>
          <w:rFonts w:cs="Arial"/>
        </w:rPr>
        <w:t>5K</w:t>
      </w:r>
      <w:r w:rsidR="00475E8C">
        <w:rPr>
          <w:rFonts w:cs="Arial"/>
        </w:rPr>
        <w:t xml:space="preserve"> each and cumulatively greater than </w:t>
      </w:r>
      <w:r w:rsidR="00115A97">
        <w:rPr>
          <w:rFonts w:cs="Arial"/>
        </w:rPr>
        <w:t>£</w:t>
      </w:r>
      <w:r w:rsidR="00475E8C">
        <w:rPr>
          <w:rFonts w:cs="Arial"/>
        </w:rPr>
        <w:t>50K in the same financial year</w:t>
      </w:r>
      <w:r>
        <w:rPr>
          <w:rFonts w:cs="Arial"/>
        </w:rPr>
        <w:t>, they will</w:t>
      </w:r>
      <w:r w:rsidR="00475E8C">
        <w:rPr>
          <w:rFonts w:cs="Arial"/>
        </w:rPr>
        <w:t xml:space="preserve"> be eligible for an incentive payment related to those awards.</w:t>
      </w:r>
      <w:proofErr w:type="gramEnd"/>
      <w:r w:rsidR="00475E8C">
        <w:rPr>
          <w:rFonts w:cs="Arial"/>
        </w:rPr>
        <w:t xml:space="preserve">  F</w:t>
      </w:r>
      <w:r>
        <w:rPr>
          <w:rFonts w:cs="Arial"/>
        </w:rPr>
        <w:t xml:space="preserve">or the </w:t>
      </w:r>
      <w:r w:rsidR="00475E8C">
        <w:rPr>
          <w:rFonts w:cs="Arial"/>
        </w:rPr>
        <w:t>duration of the eligible awards</w:t>
      </w:r>
      <w:r>
        <w:rPr>
          <w:rFonts w:cs="Arial"/>
        </w:rPr>
        <w:t>, as the income is recognised in BU’s accounts, 5% of the value</w:t>
      </w:r>
      <w:r w:rsidR="00475E8C">
        <w:rPr>
          <w:rFonts w:cs="Arial"/>
        </w:rPr>
        <w:t xml:space="preserve"> of the recognised income will be placed</w:t>
      </w:r>
      <w:r>
        <w:rPr>
          <w:rFonts w:cs="Arial"/>
        </w:rPr>
        <w:t xml:space="preserve"> into an incentive account (ISRA – Individual Staff Research Account). This will be 5% of all eligible awards (</w:t>
      </w:r>
      <w:r w:rsidR="00475E8C">
        <w:rPr>
          <w:rFonts w:cs="Arial"/>
        </w:rPr>
        <w:t xml:space="preserve">Annex </w:t>
      </w:r>
      <w:r w:rsidR="0080685C">
        <w:rPr>
          <w:rFonts w:cs="Arial"/>
        </w:rPr>
        <w:t>I</w:t>
      </w:r>
      <w:r>
        <w:rPr>
          <w:rFonts w:cs="Arial"/>
        </w:rPr>
        <w:t xml:space="preserve">). As the funds become available within the account </w:t>
      </w:r>
      <w:r w:rsidR="000C183C">
        <w:rPr>
          <w:rFonts w:cs="Arial"/>
        </w:rPr>
        <w:t>the ECR</w:t>
      </w:r>
      <w:r w:rsidR="00483ED9">
        <w:rPr>
          <w:rFonts w:cs="Arial"/>
        </w:rPr>
        <w:t xml:space="preserve"> (following discussion with their Head of Research)</w:t>
      </w:r>
      <w:r w:rsidR="000C183C">
        <w:rPr>
          <w:rFonts w:cs="Arial"/>
        </w:rPr>
        <w:t xml:space="preserve"> </w:t>
      </w:r>
      <w:r>
        <w:rPr>
          <w:rFonts w:cs="Arial"/>
        </w:rPr>
        <w:t xml:space="preserve">will be able to use those funds for the purpose of investing in their research programme.  The funds will be available for the duration of the award plus six months.  </w:t>
      </w:r>
      <w:r w:rsidRPr="00F57B21">
        <w:rPr>
          <w:rFonts w:cs="Arial"/>
        </w:rPr>
        <w:t xml:space="preserve">If funds remain after </w:t>
      </w:r>
      <w:r w:rsidR="00560BB9" w:rsidRPr="00F57B21">
        <w:rPr>
          <w:rFonts w:cs="Arial"/>
        </w:rPr>
        <w:t>this time they will be remove</w:t>
      </w:r>
      <w:r w:rsidR="00490540">
        <w:rPr>
          <w:rFonts w:cs="Arial"/>
        </w:rPr>
        <w:t>d but may be extended to take account of any parental leave taken during the period of the incentive.</w:t>
      </w:r>
    </w:p>
    <w:p w:rsidR="00475E8C" w:rsidRDefault="00475E8C" w:rsidP="003B663C">
      <w:pPr>
        <w:rPr>
          <w:rFonts w:cs="Arial"/>
        </w:rPr>
      </w:pPr>
      <w:r>
        <w:rPr>
          <w:rFonts w:cs="Arial"/>
        </w:rPr>
        <w:lastRenderedPageBreak/>
        <w:t xml:space="preserve">For </w:t>
      </w:r>
      <w:r w:rsidR="00C51808">
        <w:rPr>
          <w:rFonts w:cs="Arial"/>
        </w:rPr>
        <w:t>Other Staff</w:t>
      </w:r>
      <w:r w:rsidR="000D6E59">
        <w:rPr>
          <w:rFonts w:cs="Arial"/>
        </w:rPr>
        <w:t xml:space="preserve"> tier</w:t>
      </w:r>
      <w:r>
        <w:rPr>
          <w:rStyle w:val="FootnoteReference"/>
          <w:rFonts w:cs="Arial"/>
        </w:rPr>
        <w:footnoteReference w:id="4"/>
      </w:r>
      <w:r w:rsidR="00480799">
        <w:rPr>
          <w:rFonts w:cs="Arial"/>
        </w:rPr>
        <w:t>:</w:t>
      </w:r>
    </w:p>
    <w:p w:rsidR="00B674A0" w:rsidRDefault="00475E8C" w:rsidP="00B674A0">
      <w:pPr>
        <w:rPr>
          <w:rFonts w:cs="Arial"/>
        </w:rPr>
      </w:pPr>
      <w:r>
        <w:rPr>
          <w:rFonts w:cs="Arial"/>
        </w:rPr>
        <w:t xml:space="preserve">The process will be the same as for ECRs save that the value of each eligible award must be greater than </w:t>
      </w:r>
      <w:r w:rsidR="00115A97">
        <w:rPr>
          <w:rFonts w:cs="Arial"/>
        </w:rPr>
        <w:t>£</w:t>
      </w:r>
      <w:r>
        <w:rPr>
          <w:rFonts w:cs="Arial"/>
        </w:rPr>
        <w:t xml:space="preserve">35K and cumulatively greater than </w:t>
      </w:r>
      <w:r w:rsidR="00115A97">
        <w:rPr>
          <w:rFonts w:cs="Arial"/>
        </w:rPr>
        <w:t>£</w:t>
      </w:r>
      <w:r>
        <w:rPr>
          <w:rFonts w:cs="Arial"/>
        </w:rPr>
        <w:t>1</w:t>
      </w:r>
      <w:r w:rsidR="000D6E59">
        <w:rPr>
          <w:rFonts w:cs="Arial"/>
        </w:rPr>
        <w:t>00K in the same financial year.</w:t>
      </w:r>
    </w:p>
    <w:p w:rsidR="00B674A0" w:rsidRDefault="00B674A0" w:rsidP="003B663C">
      <w:pPr>
        <w:rPr>
          <w:rFonts w:cs="Arial"/>
          <w:b/>
        </w:rPr>
      </w:pPr>
      <w:r>
        <w:rPr>
          <w:rFonts w:cs="Arial"/>
          <w:b/>
        </w:rPr>
        <w:t xml:space="preserve">3. </w:t>
      </w:r>
      <w:r w:rsidR="009A569D">
        <w:rPr>
          <w:rFonts w:cs="Arial"/>
          <w:b/>
        </w:rPr>
        <w:t>Rules governing use of the funds</w:t>
      </w:r>
    </w:p>
    <w:p w:rsidR="009A569D" w:rsidRDefault="009A569D" w:rsidP="009A569D">
      <w:r>
        <w:t>Funds may not be used to buy</w:t>
      </w:r>
      <w:r w:rsidR="008F2589">
        <w:t>-</w:t>
      </w:r>
      <w:r>
        <w:t>out or backfill the individual’s post.</w:t>
      </w:r>
    </w:p>
    <w:p w:rsidR="009A569D" w:rsidRDefault="009A569D" w:rsidP="009A569D">
      <w:r>
        <w:t>Funds may not be u</w:t>
      </w:r>
      <w:r w:rsidR="000D6E59">
        <w:t>sed for personal payments to BU staff including ISRA holder.</w:t>
      </w:r>
    </w:p>
    <w:p w:rsidR="00CE65F3" w:rsidRDefault="00CE65F3" w:rsidP="009A569D">
      <w:r>
        <w:t>Staff leaving BU will not be able to take funds with them.</w:t>
      </w:r>
    </w:p>
    <w:p w:rsidR="0080685C" w:rsidRDefault="0080685C" w:rsidP="009A569D">
      <w:r>
        <w:t>RKEO will transfer the funds and provide monitoring of accounts but spend against these funds will be authorised by Faculty.</w:t>
      </w:r>
    </w:p>
    <w:p w:rsidR="00B674A0" w:rsidRPr="009A569D" w:rsidRDefault="009A569D" w:rsidP="003B663C">
      <w:r>
        <w:t>Princip</w:t>
      </w:r>
      <w:r w:rsidR="00115A97">
        <w:t>al</w:t>
      </w:r>
      <w:r>
        <w:t xml:space="preserve"> Investigators (PIs) will receive the incentive for eligible projects </w:t>
      </w:r>
      <w:r w:rsidR="006C4A54">
        <w:t>and there will be no split between Faculties or individuals even if there is a</w:t>
      </w:r>
      <w:r w:rsidR="000D6E59">
        <w:t xml:space="preserve"> split of project income</w:t>
      </w:r>
      <w:r w:rsidR="006C4A54">
        <w:t>.  PIs may themselves agree usage of the funds with their collaborators directly from their ISRAs.</w:t>
      </w:r>
    </w:p>
    <w:p w:rsidR="00B674A0" w:rsidRDefault="00B674A0" w:rsidP="003B663C">
      <w:pPr>
        <w:rPr>
          <w:rFonts w:cs="Arial"/>
        </w:rPr>
      </w:pPr>
      <w:r>
        <w:rPr>
          <w:rFonts w:cs="Arial"/>
          <w:b/>
        </w:rPr>
        <w:t>4. Internal r</w:t>
      </w:r>
      <w:r w:rsidR="002450E8" w:rsidRPr="00C8212A">
        <w:rPr>
          <w:rFonts w:cs="Arial"/>
          <w:b/>
        </w:rPr>
        <w:t>eporting</w:t>
      </w:r>
    </w:p>
    <w:p w:rsidR="000C183C" w:rsidRDefault="006C4A54" w:rsidP="003B663C">
      <w:pPr>
        <w:rPr>
          <w:rFonts w:cs="Arial"/>
        </w:rPr>
      </w:pPr>
      <w:r>
        <w:rPr>
          <w:rFonts w:cs="Arial"/>
        </w:rPr>
        <w:t>In order to provide feedback on the success and value of the scheme PIs may from time to time be asked to provide short narrative reports or complete brief surveys on activities funded by their ISRAs.</w:t>
      </w:r>
      <w:r w:rsidR="00383EF4">
        <w:rPr>
          <w:rFonts w:cs="Arial"/>
        </w:rPr>
        <w:t xml:space="preserve"> </w:t>
      </w:r>
      <w:r w:rsidR="000C183C">
        <w:rPr>
          <w:rFonts w:cs="Arial"/>
        </w:rPr>
        <w:t xml:space="preserve"> </w:t>
      </w:r>
      <w:r w:rsidR="00C21DC0">
        <w:rPr>
          <w:rFonts w:cs="Arial"/>
        </w:rPr>
        <w:t xml:space="preserve">Financial reporting will be provided quarterly to the individual ISRA holders but also to </w:t>
      </w:r>
      <w:r w:rsidR="00C51808">
        <w:rPr>
          <w:rFonts w:cs="Arial"/>
        </w:rPr>
        <w:t>Deputy Deans Research and Professional Practice</w:t>
      </w:r>
      <w:r w:rsidR="004F42F8">
        <w:rPr>
          <w:rFonts w:cs="Arial"/>
        </w:rPr>
        <w:t xml:space="preserve"> (DDRPPs)</w:t>
      </w:r>
      <w:r w:rsidR="00842A9B">
        <w:rPr>
          <w:rFonts w:cs="Arial"/>
        </w:rPr>
        <w:t xml:space="preserve">, </w:t>
      </w:r>
      <w:r w:rsidR="00C51808">
        <w:rPr>
          <w:rFonts w:cs="Arial"/>
        </w:rPr>
        <w:t>Faculty Directors of Operations</w:t>
      </w:r>
      <w:r w:rsidR="004F42F8">
        <w:rPr>
          <w:rFonts w:cs="Arial"/>
        </w:rPr>
        <w:t xml:space="preserve"> (DOPs)</w:t>
      </w:r>
      <w:r w:rsidR="00C21DC0">
        <w:rPr>
          <w:rFonts w:cs="Arial"/>
        </w:rPr>
        <w:t xml:space="preserve"> and to F</w:t>
      </w:r>
      <w:r w:rsidR="00C51808">
        <w:rPr>
          <w:rFonts w:cs="Arial"/>
        </w:rPr>
        <w:t xml:space="preserve">inance and </w:t>
      </w:r>
      <w:r w:rsidR="00C21DC0">
        <w:rPr>
          <w:rFonts w:cs="Arial"/>
        </w:rPr>
        <w:t>P</w:t>
      </w:r>
      <w:r w:rsidR="00C51808">
        <w:rPr>
          <w:rFonts w:cs="Arial"/>
        </w:rPr>
        <w:t>erformance</w:t>
      </w:r>
      <w:r w:rsidR="004F42F8">
        <w:rPr>
          <w:rFonts w:cs="Arial"/>
        </w:rPr>
        <w:t xml:space="preserve"> (F&amp;P)</w:t>
      </w:r>
      <w:r w:rsidR="00C21DC0">
        <w:rPr>
          <w:rFonts w:cs="Arial"/>
        </w:rPr>
        <w:t>.</w:t>
      </w:r>
    </w:p>
    <w:p w:rsidR="00B674A0" w:rsidRDefault="00B674A0" w:rsidP="003B663C">
      <w:pPr>
        <w:rPr>
          <w:rFonts w:cs="Arial"/>
        </w:rPr>
      </w:pPr>
      <w:r>
        <w:rPr>
          <w:rFonts w:cs="Arial"/>
          <w:b/>
        </w:rPr>
        <w:t xml:space="preserve">5. </w:t>
      </w:r>
      <w:r w:rsidR="008E3A4F" w:rsidRPr="008E3A4F">
        <w:rPr>
          <w:rFonts w:cs="Arial"/>
          <w:b/>
        </w:rPr>
        <w:t xml:space="preserve">Review of </w:t>
      </w:r>
      <w:r w:rsidR="008E3A4F">
        <w:rPr>
          <w:rFonts w:cs="Arial"/>
          <w:b/>
        </w:rPr>
        <w:t>scheme</w:t>
      </w:r>
    </w:p>
    <w:p w:rsidR="003B663C" w:rsidRDefault="008E3A4F">
      <w:pPr>
        <w:rPr>
          <w:rFonts w:cs="Arial"/>
        </w:rPr>
      </w:pPr>
      <w:r>
        <w:rPr>
          <w:rFonts w:cs="Arial"/>
        </w:rPr>
        <w:t>T</w:t>
      </w:r>
      <w:r w:rsidR="001D6484">
        <w:rPr>
          <w:rFonts w:cs="Arial"/>
        </w:rPr>
        <w:t xml:space="preserve">he scheme </w:t>
      </w:r>
      <w:r w:rsidR="00354694">
        <w:rPr>
          <w:rFonts w:cs="Arial"/>
        </w:rPr>
        <w:t xml:space="preserve">will be </w:t>
      </w:r>
      <w:r w:rsidRPr="008E3A4F">
        <w:rPr>
          <w:rFonts w:cs="Arial"/>
        </w:rPr>
        <w:t xml:space="preserve">launched </w:t>
      </w:r>
      <w:r w:rsidR="006C7BF1">
        <w:rPr>
          <w:rFonts w:cs="Arial"/>
        </w:rPr>
        <w:t xml:space="preserve">in </w:t>
      </w:r>
      <w:r w:rsidR="00C51808">
        <w:rPr>
          <w:rFonts w:cs="Arial"/>
        </w:rPr>
        <w:t>March</w:t>
      </w:r>
      <w:r w:rsidR="00354694">
        <w:rPr>
          <w:rFonts w:cs="Arial"/>
        </w:rPr>
        <w:t xml:space="preserve"> </w:t>
      </w:r>
      <w:r w:rsidRPr="008E3A4F">
        <w:rPr>
          <w:rFonts w:cs="Arial"/>
        </w:rPr>
        <w:t>201</w:t>
      </w:r>
      <w:r w:rsidR="00C51808">
        <w:rPr>
          <w:rFonts w:cs="Arial"/>
        </w:rPr>
        <w:t>8 and back-dated to August 2017</w:t>
      </w:r>
      <w:r w:rsidRPr="008E3A4F">
        <w:rPr>
          <w:rFonts w:cs="Arial"/>
        </w:rPr>
        <w:t xml:space="preserve">.  </w:t>
      </w:r>
      <w:r w:rsidR="00F21A13">
        <w:rPr>
          <w:rFonts w:cs="Arial"/>
        </w:rPr>
        <w:t>A light-touch review of the scheme will be conducted after 18 months (Jan/Feb 2019) to establish extent of use and acceptance by ISRA holders.  The r</w:t>
      </w:r>
      <w:r w:rsidR="000C183C">
        <w:rPr>
          <w:rFonts w:cs="Arial"/>
        </w:rPr>
        <w:t>eview will report to URKEC.</w:t>
      </w:r>
    </w:p>
    <w:p w:rsidR="0080685C" w:rsidRDefault="0080685C" w:rsidP="0080685C">
      <w:pPr>
        <w:spacing w:after="160" w:line="256" w:lineRule="auto"/>
        <w:rPr>
          <w:b/>
          <w:i/>
        </w:rPr>
      </w:pPr>
    </w:p>
    <w:p w:rsidR="0080685C" w:rsidRDefault="0080685C" w:rsidP="0080685C">
      <w:pPr>
        <w:spacing w:after="160" w:line="256" w:lineRule="auto"/>
        <w:rPr>
          <w:b/>
          <w:i/>
        </w:rPr>
      </w:pPr>
    </w:p>
    <w:p w:rsidR="0080685C" w:rsidRDefault="0080685C" w:rsidP="0080685C">
      <w:pPr>
        <w:spacing w:after="160" w:line="256" w:lineRule="auto"/>
        <w:rPr>
          <w:b/>
          <w:i/>
        </w:rPr>
      </w:pPr>
    </w:p>
    <w:p w:rsidR="0080685C" w:rsidRDefault="0080685C" w:rsidP="0080685C">
      <w:pPr>
        <w:spacing w:after="160" w:line="256" w:lineRule="auto"/>
        <w:rPr>
          <w:b/>
          <w:i/>
        </w:rPr>
      </w:pPr>
    </w:p>
    <w:p w:rsidR="0080685C" w:rsidRDefault="0080685C" w:rsidP="0080685C">
      <w:pPr>
        <w:spacing w:after="160" w:line="256" w:lineRule="auto"/>
        <w:rPr>
          <w:b/>
          <w:i/>
        </w:rPr>
      </w:pPr>
    </w:p>
    <w:p w:rsidR="0080685C" w:rsidRDefault="0080685C" w:rsidP="0080685C">
      <w:pPr>
        <w:spacing w:after="160" w:line="256" w:lineRule="auto"/>
        <w:rPr>
          <w:b/>
          <w:i/>
        </w:rPr>
      </w:pPr>
    </w:p>
    <w:p w:rsidR="0080685C" w:rsidRDefault="0080685C" w:rsidP="0080685C">
      <w:pPr>
        <w:spacing w:after="160" w:line="256" w:lineRule="auto"/>
        <w:rPr>
          <w:b/>
          <w:i/>
        </w:rPr>
      </w:pPr>
    </w:p>
    <w:p w:rsidR="0080685C" w:rsidRDefault="0080685C" w:rsidP="0080685C">
      <w:pPr>
        <w:spacing w:after="160" w:line="256" w:lineRule="auto"/>
        <w:rPr>
          <w:b/>
          <w:i/>
        </w:rPr>
      </w:pPr>
    </w:p>
    <w:p w:rsidR="0080685C" w:rsidRDefault="0080685C" w:rsidP="0080685C">
      <w:pPr>
        <w:spacing w:after="160" w:line="256" w:lineRule="auto"/>
        <w:rPr>
          <w:b/>
          <w:i/>
        </w:rPr>
      </w:pPr>
    </w:p>
    <w:p w:rsidR="0080685C" w:rsidRDefault="0080685C" w:rsidP="0080685C">
      <w:pPr>
        <w:spacing w:after="160" w:line="256" w:lineRule="auto"/>
        <w:rPr>
          <w:b/>
          <w:i/>
        </w:rPr>
      </w:pPr>
    </w:p>
    <w:p w:rsidR="0080685C" w:rsidRDefault="0080685C" w:rsidP="0080685C">
      <w:pPr>
        <w:spacing w:after="160" w:line="256" w:lineRule="auto"/>
        <w:rPr>
          <w:b/>
          <w:i/>
        </w:rPr>
      </w:pPr>
    </w:p>
    <w:p w:rsidR="00560BB9" w:rsidRPr="00475E8C" w:rsidRDefault="00560BB9">
      <w:pPr>
        <w:rPr>
          <w:rFonts w:cs="Arial"/>
          <w:b/>
        </w:rPr>
      </w:pPr>
      <w:r w:rsidRPr="00475E8C">
        <w:rPr>
          <w:rFonts w:cs="Arial"/>
          <w:b/>
        </w:rPr>
        <w:t>Annex I</w:t>
      </w:r>
      <w:r w:rsidR="0080685C">
        <w:rPr>
          <w:rFonts w:cs="Arial"/>
          <w:b/>
        </w:rPr>
        <w:t xml:space="preserve"> </w:t>
      </w:r>
      <w:r w:rsidR="006C4E4A" w:rsidRPr="00475E8C">
        <w:rPr>
          <w:rFonts w:cs="Arial"/>
          <w:b/>
        </w:rPr>
        <w:t>- How it runs</w:t>
      </w:r>
    </w:p>
    <w:p w:rsidR="00560BB9" w:rsidRPr="00001413" w:rsidRDefault="00475E8C">
      <w:pPr>
        <w:rPr>
          <w:rFonts w:cs="Arial"/>
          <w:u w:val="single"/>
        </w:rPr>
      </w:pPr>
      <w:proofErr w:type="gramStart"/>
      <w:r w:rsidRPr="00001413">
        <w:rPr>
          <w:rFonts w:cs="Arial"/>
          <w:u w:val="single"/>
        </w:rPr>
        <w:t>Example.</w:t>
      </w:r>
      <w:proofErr w:type="gramEnd"/>
    </w:p>
    <w:tbl>
      <w:tblPr>
        <w:tblStyle w:val="TableGrid"/>
        <w:tblW w:w="0" w:type="auto"/>
        <w:tblLook w:val="04A0" w:firstRow="1" w:lastRow="0" w:firstColumn="1" w:lastColumn="0" w:noHBand="0" w:noVBand="1"/>
      </w:tblPr>
      <w:tblGrid>
        <w:gridCol w:w="1642"/>
        <w:gridCol w:w="1642"/>
        <w:gridCol w:w="1642"/>
        <w:gridCol w:w="1642"/>
        <w:gridCol w:w="1643"/>
      </w:tblGrid>
      <w:tr w:rsidR="000D6E59" w:rsidTr="00560BB9">
        <w:tc>
          <w:tcPr>
            <w:tcW w:w="1642" w:type="dxa"/>
          </w:tcPr>
          <w:p w:rsidR="000D6E59" w:rsidRDefault="000D6E59" w:rsidP="00560BB9">
            <w:pPr>
              <w:rPr>
                <w:rFonts w:cs="Arial"/>
              </w:rPr>
            </w:pPr>
            <w:r>
              <w:rPr>
                <w:rFonts w:cs="Arial"/>
              </w:rPr>
              <w:t>ECR</w:t>
            </w:r>
          </w:p>
        </w:tc>
        <w:tc>
          <w:tcPr>
            <w:tcW w:w="1642" w:type="dxa"/>
          </w:tcPr>
          <w:p w:rsidR="000D6E59" w:rsidRDefault="000D6E59" w:rsidP="00560BB9">
            <w:pPr>
              <w:rPr>
                <w:rFonts w:cs="Arial"/>
              </w:rPr>
            </w:pPr>
          </w:p>
        </w:tc>
        <w:tc>
          <w:tcPr>
            <w:tcW w:w="1642" w:type="dxa"/>
          </w:tcPr>
          <w:p w:rsidR="000D6E59" w:rsidRDefault="000D6E59" w:rsidP="00560BB9">
            <w:pPr>
              <w:rPr>
                <w:rFonts w:cs="Arial"/>
              </w:rPr>
            </w:pPr>
            <w:r>
              <w:rPr>
                <w:rFonts w:cs="Arial"/>
              </w:rPr>
              <w:t>Project Starts</w:t>
            </w:r>
            <w:r>
              <w:rPr>
                <w:rStyle w:val="FootnoteReference"/>
                <w:rFonts w:cs="Arial"/>
              </w:rPr>
              <w:footnoteReference w:id="5"/>
            </w:r>
          </w:p>
        </w:tc>
        <w:tc>
          <w:tcPr>
            <w:tcW w:w="1642" w:type="dxa"/>
          </w:tcPr>
          <w:p w:rsidR="000D6E59" w:rsidRDefault="000D6E59" w:rsidP="00560BB9">
            <w:pPr>
              <w:rPr>
                <w:rFonts w:cs="Arial"/>
              </w:rPr>
            </w:pPr>
            <w:r>
              <w:rPr>
                <w:rFonts w:cs="Arial"/>
              </w:rPr>
              <w:t>Project Ends</w:t>
            </w:r>
            <w:r>
              <w:rPr>
                <w:rStyle w:val="FootnoteReference"/>
                <w:rFonts w:cs="Arial"/>
              </w:rPr>
              <w:footnoteReference w:id="6"/>
            </w:r>
          </w:p>
        </w:tc>
        <w:tc>
          <w:tcPr>
            <w:tcW w:w="1643" w:type="dxa"/>
          </w:tcPr>
          <w:p w:rsidR="000D6E59" w:rsidRDefault="000D6E59" w:rsidP="00560BB9">
            <w:pPr>
              <w:rPr>
                <w:rFonts w:cs="Arial"/>
              </w:rPr>
            </w:pPr>
            <w:r>
              <w:rPr>
                <w:rFonts w:cs="Arial"/>
              </w:rPr>
              <w:t>Counts?</w:t>
            </w:r>
          </w:p>
        </w:tc>
      </w:tr>
      <w:tr w:rsidR="000D6E59" w:rsidTr="00560BB9">
        <w:tc>
          <w:tcPr>
            <w:tcW w:w="1642" w:type="dxa"/>
          </w:tcPr>
          <w:p w:rsidR="000D6E59" w:rsidRDefault="000D6E59" w:rsidP="00560BB9">
            <w:pPr>
              <w:rPr>
                <w:rFonts w:cs="Arial"/>
              </w:rPr>
            </w:pPr>
            <w:r>
              <w:rPr>
                <w:rFonts w:cs="Arial"/>
              </w:rPr>
              <w:t>Award 1</w:t>
            </w:r>
          </w:p>
        </w:tc>
        <w:tc>
          <w:tcPr>
            <w:tcW w:w="1642" w:type="dxa"/>
          </w:tcPr>
          <w:p w:rsidR="000D6E59" w:rsidRDefault="00C51808" w:rsidP="00560BB9">
            <w:pPr>
              <w:rPr>
                <w:rFonts w:cs="Arial"/>
              </w:rPr>
            </w:pPr>
            <w:r>
              <w:rPr>
                <w:rFonts w:cs="Arial"/>
              </w:rPr>
              <w:t>£</w:t>
            </w:r>
            <w:r w:rsidR="000D6E59">
              <w:rPr>
                <w:rFonts w:cs="Arial"/>
              </w:rPr>
              <w:t>12000</w:t>
            </w:r>
          </w:p>
        </w:tc>
        <w:tc>
          <w:tcPr>
            <w:tcW w:w="1642" w:type="dxa"/>
          </w:tcPr>
          <w:p w:rsidR="000D6E59" w:rsidRDefault="000D6E59" w:rsidP="00560BB9">
            <w:pPr>
              <w:rPr>
                <w:rFonts w:cs="Arial"/>
              </w:rPr>
            </w:pPr>
            <w:r>
              <w:rPr>
                <w:rFonts w:cs="Arial"/>
              </w:rPr>
              <w:t>01/01/2018</w:t>
            </w:r>
          </w:p>
        </w:tc>
        <w:tc>
          <w:tcPr>
            <w:tcW w:w="1642" w:type="dxa"/>
          </w:tcPr>
          <w:p w:rsidR="000D6E59" w:rsidRDefault="000D6E59" w:rsidP="00560BB9">
            <w:pPr>
              <w:rPr>
                <w:rFonts w:cs="Arial"/>
              </w:rPr>
            </w:pPr>
            <w:r>
              <w:rPr>
                <w:rFonts w:cs="Arial"/>
              </w:rPr>
              <w:t>31/12/2018</w:t>
            </w:r>
          </w:p>
        </w:tc>
        <w:tc>
          <w:tcPr>
            <w:tcW w:w="1643" w:type="dxa"/>
          </w:tcPr>
          <w:p w:rsidR="000D6E59" w:rsidRDefault="000D6E59" w:rsidP="00560BB9">
            <w:pPr>
              <w:rPr>
                <w:rFonts w:cs="Arial"/>
              </w:rPr>
            </w:pPr>
            <w:r>
              <w:rPr>
                <w:rFonts w:cs="Arial"/>
              </w:rPr>
              <w:t>Yes</w:t>
            </w:r>
          </w:p>
        </w:tc>
      </w:tr>
      <w:tr w:rsidR="000D6E59" w:rsidTr="00560BB9">
        <w:tc>
          <w:tcPr>
            <w:tcW w:w="1642" w:type="dxa"/>
          </w:tcPr>
          <w:p w:rsidR="000D6E59" w:rsidRDefault="000D6E59" w:rsidP="00560BB9">
            <w:pPr>
              <w:rPr>
                <w:rFonts w:cs="Arial"/>
              </w:rPr>
            </w:pPr>
            <w:r>
              <w:rPr>
                <w:rFonts w:cs="Arial"/>
              </w:rPr>
              <w:t>Award 2</w:t>
            </w:r>
          </w:p>
        </w:tc>
        <w:tc>
          <w:tcPr>
            <w:tcW w:w="1642" w:type="dxa"/>
          </w:tcPr>
          <w:p w:rsidR="000D6E59" w:rsidRDefault="00C51808" w:rsidP="00560BB9">
            <w:pPr>
              <w:rPr>
                <w:rFonts w:cs="Arial"/>
              </w:rPr>
            </w:pPr>
            <w:r>
              <w:rPr>
                <w:rFonts w:cs="Arial"/>
              </w:rPr>
              <w:t>£</w:t>
            </w:r>
            <w:r w:rsidR="000D6E59">
              <w:rPr>
                <w:rFonts w:cs="Arial"/>
              </w:rPr>
              <w:t>39000</w:t>
            </w:r>
          </w:p>
        </w:tc>
        <w:tc>
          <w:tcPr>
            <w:tcW w:w="1642" w:type="dxa"/>
          </w:tcPr>
          <w:p w:rsidR="000D6E59" w:rsidRDefault="000D6E59" w:rsidP="00560BB9">
            <w:pPr>
              <w:rPr>
                <w:rFonts w:cs="Arial"/>
              </w:rPr>
            </w:pPr>
            <w:r>
              <w:rPr>
                <w:rFonts w:cs="Arial"/>
              </w:rPr>
              <w:t>01/03/2018</w:t>
            </w:r>
          </w:p>
        </w:tc>
        <w:tc>
          <w:tcPr>
            <w:tcW w:w="1642" w:type="dxa"/>
          </w:tcPr>
          <w:p w:rsidR="000D6E59" w:rsidRDefault="000D6E59" w:rsidP="00560BB9">
            <w:pPr>
              <w:rPr>
                <w:rFonts w:cs="Arial"/>
              </w:rPr>
            </w:pPr>
            <w:r>
              <w:rPr>
                <w:rFonts w:cs="Arial"/>
              </w:rPr>
              <w:t>28/02/2021</w:t>
            </w:r>
          </w:p>
        </w:tc>
        <w:tc>
          <w:tcPr>
            <w:tcW w:w="1643" w:type="dxa"/>
          </w:tcPr>
          <w:p w:rsidR="000D6E59" w:rsidRDefault="000D6E59" w:rsidP="00560BB9">
            <w:pPr>
              <w:rPr>
                <w:rFonts w:cs="Arial"/>
              </w:rPr>
            </w:pPr>
            <w:r>
              <w:rPr>
                <w:rFonts w:cs="Arial"/>
              </w:rPr>
              <w:t>Yes</w:t>
            </w:r>
          </w:p>
        </w:tc>
      </w:tr>
      <w:tr w:rsidR="000D6E59" w:rsidTr="00560BB9">
        <w:tc>
          <w:tcPr>
            <w:tcW w:w="1642" w:type="dxa"/>
          </w:tcPr>
          <w:p w:rsidR="000D6E59" w:rsidRDefault="000D6E59" w:rsidP="00560BB9">
            <w:pPr>
              <w:rPr>
                <w:rFonts w:cs="Arial"/>
              </w:rPr>
            </w:pPr>
            <w:r>
              <w:rPr>
                <w:rFonts w:cs="Arial"/>
              </w:rPr>
              <w:t>Award 3</w:t>
            </w:r>
          </w:p>
        </w:tc>
        <w:tc>
          <w:tcPr>
            <w:tcW w:w="1642" w:type="dxa"/>
          </w:tcPr>
          <w:p w:rsidR="000D6E59" w:rsidRDefault="00C51808" w:rsidP="00560BB9">
            <w:pPr>
              <w:rPr>
                <w:rFonts w:cs="Arial"/>
              </w:rPr>
            </w:pPr>
            <w:r>
              <w:rPr>
                <w:rFonts w:cs="Arial"/>
              </w:rPr>
              <w:t>£</w:t>
            </w:r>
            <w:r w:rsidR="000D6E59">
              <w:rPr>
                <w:rFonts w:cs="Arial"/>
              </w:rPr>
              <w:t>8000</w:t>
            </w:r>
          </w:p>
        </w:tc>
        <w:tc>
          <w:tcPr>
            <w:tcW w:w="1642" w:type="dxa"/>
          </w:tcPr>
          <w:p w:rsidR="000D6E59" w:rsidRDefault="000D6E59" w:rsidP="00560BB9">
            <w:pPr>
              <w:rPr>
                <w:rFonts w:cs="Arial"/>
              </w:rPr>
            </w:pPr>
            <w:r>
              <w:rPr>
                <w:rFonts w:cs="Arial"/>
              </w:rPr>
              <w:t>01/08/2018</w:t>
            </w:r>
          </w:p>
        </w:tc>
        <w:tc>
          <w:tcPr>
            <w:tcW w:w="1642" w:type="dxa"/>
          </w:tcPr>
          <w:p w:rsidR="000D6E59" w:rsidRDefault="000D6E59" w:rsidP="00560BB9">
            <w:pPr>
              <w:rPr>
                <w:rFonts w:cs="Arial"/>
              </w:rPr>
            </w:pPr>
            <w:r>
              <w:rPr>
                <w:rFonts w:cs="Arial"/>
              </w:rPr>
              <w:t>30/11/2018</w:t>
            </w:r>
          </w:p>
        </w:tc>
        <w:tc>
          <w:tcPr>
            <w:tcW w:w="1643" w:type="dxa"/>
          </w:tcPr>
          <w:p w:rsidR="000D6E59" w:rsidRDefault="000D6E59" w:rsidP="00560BB9">
            <w:pPr>
              <w:rPr>
                <w:rFonts w:cs="Arial"/>
              </w:rPr>
            </w:pPr>
            <w:r>
              <w:rPr>
                <w:rFonts w:cs="Arial"/>
              </w:rPr>
              <w:t>No</w:t>
            </w:r>
          </w:p>
        </w:tc>
      </w:tr>
    </w:tbl>
    <w:p w:rsidR="00560BB9" w:rsidRDefault="00560BB9">
      <w:pPr>
        <w:rPr>
          <w:rFonts w:cs="Arial"/>
        </w:rPr>
      </w:pPr>
    </w:p>
    <w:p w:rsidR="00560BB9" w:rsidRDefault="00560BB9">
      <w:pPr>
        <w:rPr>
          <w:rFonts w:cs="Arial"/>
        </w:rPr>
      </w:pPr>
      <w:r>
        <w:rPr>
          <w:rFonts w:cs="Arial"/>
        </w:rPr>
        <w:t xml:space="preserve">In this instance the first two awards for </w:t>
      </w:r>
      <w:r w:rsidR="005F48E9">
        <w:rPr>
          <w:rFonts w:cs="Arial"/>
        </w:rPr>
        <w:t>£</w:t>
      </w:r>
      <w:r>
        <w:rPr>
          <w:rFonts w:cs="Arial"/>
        </w:rPr>
        <w:t xml:space="preserve">12K and </w:t>
      </w:r>
      <w:r w:rsidR="00C51808">
        <w:rPr>
          <w:rFonts w:cs="Arial"/>
        </w:rPr>
        <w:t>£</w:t>
      </w:r>
      <w:r>
        <w:rPr>
          <w:rFonts w:cs="Arial"/>
        </w:rPr>
        <w:t xml:space="preserve">39K amount to </w:t>
      </w:r>
      <w:r w:rsidR="00C51808">
        <w:rPr>
          <w:rFonts w:cs="Arial"/>
        </w:rPr>
        <w:t>£</w:t>
      </w:r>
      <w:r>
        <w:rPr>
          <w:rFonts w:cs="Arial"/>
        </w:rPr>
        <w:t>51K combined and both fall in the same financial year (2017/18)</w:t>
      </w:r>
      <w:r w:rsidR="005F48E9">
        <w:rPr>
          <w:rFonts w:cs="Arial"/>
        </w:rPr>
        <w:t>; in which case the ECR would receive incentive funding of £2,550</w:t>
      </w:r>
      <w:r>
        <w:rPr>
          <w:rFonts w:cs="Arial"/>
        </w:rPr>
        <w:t xml:space="preserve">.  The award for </w:t>
      </w:r>
      <w:r w:rsidR="00C51808">
        <w:rPr>
          <w:rFonts w:cs="Arial"/>
        </w:rPr>
        <w:t>£</w:t>
      </w:r>
      <w:r>
        <w:rPr>
          <w:rFonts w:cs="Arial"/>
        </w:rPr>
        <w:t xml:space="preserve">8K is not eligible unless the ECR received further funds later that bring the total for 18/19 to over </w:t>
      </w:r>
      <w:r w:rsidR="00C51808">
        <w:rPr>
          <w:rFonts w:cs="Arial"/>
        </w:rPr>
        <w:t>£</w:t>
      </w:r>
      <w:r>
        <w:rPr>
          <w:rFonts w:cs="Arial"/>
        </w:rPr>
        <w:t xml:space="preserve">50K.  An individual award over </w:t>
      </w:r>
      <w:r w:rsidR="00C51808">
        <w:rPr>
          <w:rFonts w:cs="Arial"/>
        </w:rPr>
        <w:t>£</w:t>
      </w:r>
      <w:r>
        <w:rPr>
          <w:rFonts w:cs="Arial"/>
        </w:rPr>
        <w:t xml:space="preserve">50K to an ECR would qualify for the incentive in its own right and if others for over </w:t>
      </w:r>
      <w:r w:rsidR="00C51808">
        <w:rPr>
          <w:rFonts w:cs="Arial"/>
        </w:rPr>
        <w:t>£</w:t>
      </w:r>
      <w:r>
        <w:rPr>
          <w:rFonts w:cs="Arial"/>
        </w:rPr>
        <w:t>5K occurred in the same year they would also qualify.</w:t>
      </w:r>
    </w:p>
    <w:p w:rsidR="006C4E4A" w:rsidRDefault="008F2589">
      <w:pPr>
        <w:rPr>
          <w:rFonts w:cs="Arial"/>
        </w:rPr>
      </w:pPr>
      <w:r>
        <w:rPr>
          <w:rFonts w:cs="Arial"/>
        </w:rPr>
        <w:t>S</w:t>
      </w:r>
      <w:r w:rsidR="006C4E4A">
        <w:rPr>
          <w:rFonts w:cs="Arial"/>
        </w:rPr>
        <w:t>taff member</w:t>
      </w:r>
      <w:r>
        <w:rPr>
          <w:rFonts w:cs="Arial"/>
        </w:rPr>
        <w:t>s</w:t>
      </w:r>
      <w:r w:rsidR="006C4E4A">
        <w:rPr>
          <w:rFonts w:cs="Arial"/>
        </w:rPr>
        <w:t xml:space="preserve"> entitled to incentive payment</w:t>
      </w:r>
      <w:r>
        <w:rPr>
          <w:rFonts w:cs="Arial"/>
        </w:rPr>
        <w:t>s</w:t>
      </w:r>
      <w:r w:rsidR="006C4E4A">
        <w:rPr>
          <w:rFonts w:cs="Arial"/>
        </w:rPr>
        <w:t xml:space="preserve"> will have </w:t>
      </w:r>
      <w:r>
        <w:rPr>
          <w:rFonts w:cs="Arial"/>
        </w:rPr>
        <w:t xml:space="preserve">use of the Faculty ISRA </w:t>
      </w:r>
      <w:r w:rsidR="006C4E4A">
        <w:rPr>
          <w:rFonts w:cs="Arial"/>
        </w:rPr>
        <w:t>activity code</w:t>
      </w:r>
      <w:r w:rsidR="00F16661">
        <w:rPr>
          <w:rFonts w:cs="Arial"/>
        </w:rPr>
        <w:t xml:space="preserve"> </w:t>
      </w:r>
      <w:r>
        <w:rPr>
          <w:rFonts w:cs="Arial"/>
        </w:rPr>
        <w:t>- s</w:t>
      </w:r>
      <w:r w:rsidR="006C4E4A">
        <w:rPr>
          <w:rFonts w:cs="Arial"/>
        </w:rPr>
        <w:t>et up (within the Faculty code range) and all incentives, from however many projects the individual</w:t>
      </w:r>
      <w:r>
        <w:rPr>
          <w:rFonts w:cs="Arial"/>
        </w:rPr>
        <w:t>s</w:t>
      </w:r>
      <w:r w:rsidR="006C4E4A">
        <w:rPr>
          <w:rFonts w:cs="Arial"/>
        </w:rPr>
        <w:t xml:space="preserve"> holds, will be </w:t>
      </w:r>
      <w:r w:rsidR="006E7418">
        <w:rPr>
          <w:rFonts w:cs="Arial"/>
        </w:rPr>
        <w:t>available to spend from</w:t>
      </w:r>
      <w:r w:rsidR="006C4E4A">
        <w:rPr>
          <w:rFonts w:cs="Arial"/>
        </w:rPr>
        <w:t xml:space="preserve"> this code.  In </w:t>
      </w:r>
      <w:r w:rsidR="005F48E9">
        <w:rPr>
          <w:rFonts w:cs="Arial"/>
        </w:rPr>
        <w:t>2017-18</w:t>
      </w:r>
      <w:r w:rsidR="006C4E4A">
        <w:rPr>
          <w:rFonts w:cs="Arial"/>
        </w:rPr>
        <w:t xml:space="preserve"> this will be fr</w:t>
      </w:r>
      <w:r w:rsidR="00F16661">
        <w:rPr>
          <w:rFonts w:cs="Arial"/>
        </w:rPr>
        <w:t>om a central QR code.  Steps will be taken to ensure the balances on ISRAs persist between financial years to enable forward planning and investment.</w:t>
      </w:r>
    </w:p>
    <w:p w:rsidR="00F16661" w:rsidRDefault="00F16661">
      <w:pPr>
        <w:rPr>
          <w:rFonts w:cs="Arial"/>
        </w:rPr>
      </w:pPr>
      <w:r>
        <w:rPr>
          <w:rFonts w:cs="Arial"/>
        </w:rPr>
        <w:t xml:space="preserve">As below, the 5% will be calculated and </w:t>
      </w:r>
      <w:r w:rsidR="005F48E9">
        <w:rPr>
          <w:rFonts w:cs="Arial"/>
        </w:rPr>
        <w:t xml:space="preserve">retrospectively </w:t>
      </w:r>
      <w:r w:rsidR="006E7418">
        <w:rPr>
          <w:rFonts w:cs="Arial"/>
        </w:rPr>
        <w:t xml:space="preserve">notified </w:t>
      </w:r>
      <w:r>
        <w:rPr>
          <w:rFonts w:cs="Arial"/>
        </w:rPr>
        <w:t xml:space="preserve">to the </w:t>
      </w:r>
      <w:r w:rsidR="006E7418">
        <w:rPr>
          <w:rFonts w:cs="Arial"/>
        </w:rPr>
        <w:t>recipient and Faculty</w:t>
      </w:r>
      <w:r>
        <w:rPr>
          <w:rFonts w:cs="Arial"/>
        </w:rPr>
        <w:t xml:space="preserve"> on a quarterly basis</w:t>
      </w:r>
      <w:r w:rsidR="005F48E9">
        <w:rPr>
          <w:rFonts w:cs="Arial"/>
        </w:rPr>
        <w:t xml:space="preserve"> based on recognised income that quarter</w:t>
      </w:r>
      <w:r>
        <w:rPr>
          <w:rFonts w:cs="Arial"/>
        </w:rPr>
        <w:t>.  Individual ISRA holders will be notified by RKEO of their balance each quarter</w:t>
      </w:r>
      <w:r w:rsidR="008F2589">
        <w:rPr>
          <w:rFonts w:cs="Arial"/>
        </w:rPr>
        <w:t>.</w:t>
      </w:r>
      <w:r w:rsidR="00475E8C">
        <w:rPr>
          <w:rFonts w:cs="Arial"/>
        </w:rPr>
        <w:t xml:space="preserve"> RKEO will input to the annual budget planning process</w:t>
      </w:r>
      <w:r w:rsidR="006C4A54">
        <w:rPr>
          <w:rFonts w:cs="Arial"/>
        </w:rPr>
        <w:t xml:space="preserve"> (via F&amp;P and the Faculties)</w:t>
      </w:r>
      <w:r w:rsidR="00475E8C">
        <w:rPr>
          <w:rFonts w:cs="Arial"/>
        </w:rPr>
        <w:t xml:space="preserve"> and to the within-year forecasting in relation to these ongoing accounts (as the basis for the figures will come from RKEO data). </w:t>
      </w:r>
    </w:p>
    <w:p w:rsidR="00F16661" w:rsidRPr="00001413" w:rsidRDefault="00001413">
      <w:pPr>
        <w:rPr>
          <w:rFonts w:cs="Arial"/>
          <w:u w:val="single"/>
        </w:rPr>
      </w:pPr>
      <w:r w:rsidRPr="00001413">
        <w:rPr>
          <w:rFonts w:cs="Arial"/>
          <w:u w:val="single"/>
        </w:rPr>
        <w:t>Incentive payments calculation as income is recognised on projects, month to month:</w:t>
      </w:r>
    </w:p>
    <w:tbl>
      <w:tblPr>
        <w:tblStyle w:val="TableGrid"/>
        <w:tblW w:w="0" w:type="auto"/>
        <w:tblLook w:val="04A0" w:firstRow="1" w:lastRow="0" w:firstColumn="1" w:lastColumn="0" w:noHBand="0" w:noVBand="1"/>
      </w:tblPr>
      <w:tblGrid>
        <w:gridCol w:w="1192"/>
        <w:gridCol w:w="1082"/>
        <w:gridCol w:w="1082"/>
        <w:gridCol w:w="1083"/>
        <w:gridCol w:w="1083"/>
        <w:gridCol w:w="1083"/>
        <w:gridCol w:w="1083"/>
        <w:gridCol w:w="1083"/>
        <w:gridCol w:w="1083"/>
      </w:tblGrid>
      <w:tr w:rsidR="005F48E9" w:rsidTr="002521F1">
        <w:tc>
          <w:tcPr>
            <w:tcW w:w="1192" w:type="dxa"/>
          </w:tcPr>
          <w:p w:rsidR="005F48E9" w:rsidRDefault="005F48E9">
            <w:pPr>
              <w:rPr>
                <w:rFonts w:cs="Arial"/>
              </w:rPr>
            </w:pPr>
          </w:p>
        </w:tc>
        <w:tc>
          <w:tcPr>
            <w:tcW w:w="1082" w:type="dxa"/>
          </w:tcPr>
          <w:p w:rsidR="005F48E9" w:rsidRDefault="005F48E9" w:rsidP="009C78A6">
            <w:pPr>
              <w:jc w:val="center"/>
              <w:rPr>
                <w:rFonts w:cs="Arial"/>
              </w:rPr>
            </w:pPr>
            <w:r>
              <w:rPr>
                <w:rFonts w:cs="Arial"/>
              </w:rPr>
              <w:t>Q2</w:t>
            </w:r>
          </w:p>
        </w:tc>
        <w:tc>
          <w:tcPr>
            <w:tcW w:w="3248" w:type="dxa"/>
            <w:gridSpan w:val="3"/>
          </w:tcPr>
          <w:p w:rsidR="005F48E9" w:rsidRDefault="005F48E9" w:rsidP="009C78A6">
            <w:pPr>
              <w:jc w:val="center"/>
              <w:rPr>
                <w:rFonts w:cs="Arial"/>
              </w:rPr>
            </w:pPr>
            <w:r>
              <w:rPr>
                <w:rFonts w:cs="Arial"/>
              </w:rPr>
              <w:t>Q3</w:t>
            </w:r>
          </w:p>
        </w:tc>
        <w:tc>
          <w:tcPr>
            <w:tcW w:w="3249" w:type="dxa"/>
            <w:gridSpan w:val="3"/>
          </w:tcPr>
          <w:p w:rsidR="005F48E9" w:rsidRDefault="005F48E9" w:rsidP="009C78A6">
            <w:pPr>
              <w:jc w:val="center"/>
              <w:rPr>
                <w:rFonts w:cs="Arial"/>
              </w:rPr>
            </w:pPr>
            <w:r>
              <w:rPr>
                <w:rFonts w:cs="Arial"/>
              </w:rPr>
              <w:t>Q4</w:t>
            </w:r>
          </w:p>
        </w:tc>
        <w:tc>
          <w:tcPr>
            <w:tcW w:w="1083" w:type="dxa"/>
          </w:tcPr>
          <w:p w:rsidR="005F48E9" w:rsidRDefault="005F48E9" w:rsidP="009C78A6">
            <w:pPr>
              <w:jc w:val="center"/>
              <w:rPr>
                <w:rFonts w:cs="Arial"/>
              </w:rPr>
            </w:pPr>
            <w:r>
              <w:rPr>
                <w:rFonts w:cs="Arial"/>
              </w:rPr>
              <w:t>Q1</w:t>
            </w:r>
          </w:p>
        </w:tc>
      </w:tr>
      <w:tr w:rsidR="006C4E4A" w:rsidTr="005F48E9">
        <w:tc>
          <w:tcPr>
            <w:tcW w:w="1192" w:type="dxa"/>
          </w:tcPr>
          <w:p w:rsidR="006C4E4A" w:rsidRDefault="006C4E4A">
            <w:pPr>
              <w:rPr>
                <w:rFonts w:cs="Arial"/>
              </w:rPr>
            </w:pPr>
          </w:p>
        </w:tc>
        <w:tc>
          <w:tcPr>
            <w:tcW w:w="1082" w:type="dxa"/>
          </w:tcPr>
          <w:p w:rsidR="006C4E4A" w:rsidRDefault="006C4E4A">
            <w:pPr>
              <w:rPr>
                <w:rFonts w:cs="Arial"/>
              </w:rPr>
            </w:pPr>
            <w:r>
              <w:rPr>
                <w:rFonts w:cs="Arial"/>
              </w:rPr>
              <w:t>Jan 18</w:t>
            </w:r>
          </w:p>
        </w:tc>
        <w:tc>
          <w:tcPr>
            <w:tcW w:w="1082" w:type="dxa"/>
          </w:tcPr>
          <w:p w:rsidR="006C4E4A" w:rsidRDefault="006C4E4A">
            <w:pPr>
              <w:rPr>
                <w:rFonts w:cs="Arial"/>
              </w:rPr>
            </w:pPr>
            <w:r>
              <w:rPr>
                <w:rFonts w:cs="Arial"/>
              </w:rPr>
              <w:t>Feb 18</w:t>
            </w:r>
          </w:p>
        </w:tc>
        <w:tc>
          <w:tcPr>
            <w:tcW w:w="1083" w:type="dxa"/>
          </w:tcPr>
          <w:p w:rsidR="006C4E4A" w:rsidRDefault="006C4E4A">
            <w:pPr>
              <w:rPr>
                <w:rFonts w:cs="Arial"/>
              </w:rPr>
            </w:pPr>
            <w:r>
              <w:rPr>
                <w:rFonts w:cs="Arial"/>
              </w:rPr>
              <w:t>Mar 18</w:t>
            </w:r>
          </w:p>
        </w:tc>
        <w:tc>
          <w:tcPr>
            <w:tcW w:w="1083" w:type="dxa"/>
          </w:tcPr>
          <w:p w:rsidR="006C4E4A" w:rsidRDefault="006C4E4A">
            <w:pPr>
              <w:rPr>
                <w:rFonts w:cs="Arial"/>
              </w:rPr>
            </w:pPr>
            <w:r>
              <w:rPr>
                <w:rFonts w:cs="Arial"/>
              </w:rPr>
              <w:t>Apr 18</w:t>
            </w:r>
          </w:p>
        </w:tc>
        <w:tc>
          <w:tcPr>
            <w:tcW w:w="1083" w:type="dxa"/>
          </w:tcPr>
          <w:p w:rsidR="006C4E4A" w:rsidRDefault="006C4E4A">
            <w:pPr>
              <w:rPr>
                <w:rFonts w:cs="Arial"/>
              </w:rPr>
            </w:pPr>
            <w:r>
              <w:rPr>
                <w:rFonts w:cs="Arial"/>
              </w:rPr>
              <w:t>May 18</w:t>
            </w:r>
          </w:p>
        </w:tc>
        <w:tc>
          <w:tcPr>
            <w:tcW w:w="1083" w:type="dxa"/>
          </w:tcPr>
          <w:p w:rsidR="006C4E4A" w:rsidRDefault="006C4E4A">
            <w:pPr>
              <w:rPr>
                <w:rFonts w:cs="Arial"/>
              </w:rPr>
            </w:pPr>
            <w:r>
              <w:rPr>
                <w:rFonts w:cs="Arial"/>
              </w:rPr>
              <w:t>Jun 18</w:t>
            </w:r>
          </w:p>
        </w:tc>
        <w:tc>
          <w:tcPr>
            <w:tcW w:w="1083" w:type="dxa"/>
          </w:tcPr>
          <w:p w:rsidR="006C4E4A" w:rsidRDefault="006C4E4A">
            <w:pPr>
              <w:rPr>
                <w:rFonts w:cs="Arial"/>
              </w:rPr>
            </w:pPr>
            <w:r>
              <w:rPr>
                <w:rFonts w:cs="Arial"/>
              </w:rPr>
              <w:t>Jul 18</w:t>
            </w:r>
          </w:p>
        </w:tc>
        <w:tc>
          <w:tcPr>
            <w:tcW w:w="1083" w:type="dxa"/>
          </w:tcPr>
          <w:p w:rsidR="006C4E4A" w:rsidRDefault="006C4E4A">
            <w:pPr>
              <w:rPr>
                <w:rFonts w:cs="Arial"/>
              </w:rPr>
            </w:pPr>
            <w:r>
              <w:rPr>
                <w:rFonts w:cs="Arial"/>
              </w:rPr>
              <w:t>Aug 18</w:t>
            </w:r>
          </w:p>
        </w:tc>
      </w:tr>
      <w:tr w:rsidR="006C4E4A" w:rsidTr="005F48E9">
        <w:tc>
          <w:tcPr>
            <w:tcW w:w="1192" w:type="dxa"/>
          </w:tcPr>
          <w:p w:rsidR="006C4E4A" w:rsidRDefault="006C4E4A">
            <w:pPr>
              <w:rPr>
                <w:rFonts w:cs="Arial"/>
              </w:rPr>
            </w:pPr>
            <w:r>
              <w:rPr>
                <w:rFonts w:cs="Arial"/>
              </w:rPr>
              <w:t>Award 1</w:t>
            </w:r>
            <w:r w:rsidR="000D6E59">
              <w:rPr>
                <w:rFonts w:cs="Arial"/>
              </w:rPr>
              <w:t xml:space="preserve"> recognised income</w:t>
            </w:r>
          </w:p>
        </w:tc>
        <w:tc>
          <w:tcPr>
            <w:tcW w:w="1082" w:type="dxa"/>
          </w:tcPr>
          <w:p w:rsidR="006C4E4A" w:rsidRDefault="004F42F8">
            <w:pPr>
              <w:rPr>
                <w:rFonts w:cs="Arial"/>
              </w:rPr>
            </w:pPr>
            <w:r>
              <w:rPr>
                <w:rFonts w:cs="Arial"/>
              </w:rPr>
              <w:t>£</w:t>
            </w:r>
            <w:r w:rsidR="006C4E4A">
              <w:rPr>
                <w:rFonts w:cs="Arial"/>
              </w:rPr>
              <w:t>2000</w:t>
            </w:r>
          </w:p>
        </w:tc>
        <w:tc>
          <w:tcPr>
            <w:tcW w:w="1082" w:type="dxa"/>
          </w:tcPr>
          <w:p w:rsidR="006C4E4A" w:rsidRDefault="004F42F8">
            <w:pPr>
              <w:rPr>
                <w:rFonts w:cs="Arial"/>
              </w:rPr>
            </w:pPr>
            <w:r>
              <w:rPr>
                <w:rFonts w:cs="Arial"/>
              </w:rPr>
              <w:t>£</w:t>
            </w:r>
            <w:r w:rsidR="006C4E4A">
              <w:rPr>
                <w:rFonts w:cs="Arial"/>
              </w:rPr>
              <w:t>1000</w:t>
            </w:r>
          </w:p>
        </w:tc>
        <w:tc>
          <w:tcPr>
            <w:tcW w:w="1083" w:type="dxa"/>
          </w:tcPr>
          <w:p w:rsidR="006C4E4A" w:rsidRDefault="004F42F8">
            <w:pPr>
              <w:rPr>
                <w:rFonts w:cs="Arial"/>
              </w:rPr>
            </w:pPr>
            <w:r>
              <w:rPr>
                <w:rFonts w:cs="Arial"/>
              </w:rPr>
              <w:t>£</w:t>
            </w:r>
            <w:r w:rsidR="006C4E4A">
              <w:rPr>
                <w:rFonts w:cs="Arial"/>
              </w:rPr>
              <w:t>1000</w:t>
            </w:r>
          </w:p>
        </w:tc>
        <w:tc>
          <w:tcPr>
            <w:tcW w:w="1083" w:type="dxa"/>
          </w:tcPr>
          <w:p w:rsidR="006C4E4A" w:rsidRDefault="004F42F8">
            <w:pPr>
              <w:rPr>
                <w:rFonts w:cs="Arial"/>
              </w:rPr>
            </w:pPr>
            <w:r>
              <w:rPr>
                <w:rFonts w:cs="Arial"/>
              </w:rPr>
              <w:t>£</w:t>
            </w:r>
            <w:r w:rsidR="006C4E4A">
              <w:rPr>
                <w:rFonts w:cs="Arial"/>
              </w:rPr>
              <w:t>2000</w:t>
            </w:r>
          </w:p>
        </w:tc>
        <w:tc>
          <w:tcPr>
            <w:tcW w:w="1083" w:type="dxa"/>
          </w:tcPr>
          <w:p w:rsidR="006C4E4A" w:rsidRDefault="004F42F8">
            <w:pPr>
              <w:rPr>
                <w:rFonts w:cs="Arial"/>
              </w:rPr>
            </w:pPr>
            <w:r>
              <w:rPr>
                <w:rFonts w:cs="Arial"/>
              </w:rPr>
              <w:t>£</w:t>
            </w:r>
            <w:r w:rsidR="006C4E4A">
              <w:rPr>
                <w:rFonts w:cs="Arial"/>
              </w:rPr>
              <w:t>3000</w:t>
            </w:r>
          </w:p>
        </w:tc>
        <w:tc>
          <w:tcPr>
            <w:tcW w:w="1083" w:type="dxa"/>
          </w:tcPr>
          <w:p w:rsidR="006C4E4A" w:rsidRDefault="004F42F8">
            <w:pPr>
              <w:rPr>
                <w:rFonts w:cs="Arial"/>
              </w:rPr>
            </w:pPr>
            <w:r>
              <w:rPr>
                <w:rFonts w:cs="Arial"/>
              </w:rPr>
              <w:t>£</w:t>
            </w:r>
            <w:r w:rsidR="006C4E4A">
              <w:rPr>
                <w:rFonts w:cs="Arial"/>
              </w:rPr>
              <w:t>1000</w:t>
            </w:r>
          </w:p>
        </w:tc>
        <w:tc>
          <w:tcPr>
            <w:tcW w:w="1083" w:type="dxa"/>
          </w:tcPr>
          <w:p w:rsidR="006C4E4A" w:rsidRDefault="004F42F8">
            <w:pPr>
              <w:rPr>
                <w:rFonts w:cs="Arial"/>
              </w:rPr>
            </w:pPr>
            <w:r>
              <w:rPr>
                <w:rFonts w:cs="Arial"/>
              </w:rPr>
              <w:t>£</w:t>
            </w:r>
            <w:r w:rsidR="006C4E4A">
              <w:rPr>
                <w:rFonts w:cs="Arial"/>
              </w:rPr>
              <w:t>0</w:t>
            </w:r>
          </w:p>
        </w:tc>
        <w:tc>
          <w:tcPr>
            <w:tcW w:w="1083" w:type="dxa"/>
          </w:tcPr>
          <w:p w:rsidR="006C4E4A" w:rsidRDefault="004F42F8">
            <w:pPr>
              <w:rPr>
                <w:rFonts w:cs="Arial"/>
              </w:rPr>
            </w:pPr>
            <w:r>
              <w:rPr>
                <w:rFonts w:cs="Arial"/>
              </w:rPr>
              <w:t>£</w:t>
            </w:r>
            <w:r w:rsidR="006C4E4A">
              <w:rPr>
                <w:rFonts w:cs="Arial"/>
              </w:rPr>
              <w:t>0</w:t>
            </w:r>
          </w:p>
        </w:tc>
      </w:tr>
      <w:tr w:rsidR="006C4E4A" w:rsidTr="005F48E9">
        <w:tc>
          <w:tcPr>
            <w:tcW w:w="1192" w:type="dxa"/>
          </w:tcPr>
          <w:p w:rsidR="006C4E4A" w:rsidRDefault="006C4E4A">
            <w:pPr>
              <w:rPr>
                <w:rFonts w:cs="Arial"/>
              </w:rPr>
            </w:pPr>
            <w:r>
              <w:rPr>
                <w:rFonts w:cs="Arial"/>
              </w:rPr>
              <w:t>Award 2</w:t>
            </w:r>
            <w:r w:rsidR="000D6E59">
              <w:rPr>
                <w:rFonts w:cs="Arial"/>
              </w:rPr>
              <w:t xml:space="preserve"> recognised income</w:t>
            </w:r>
          </w:p>
        </w:tc>
        <w:tc>
          <w:tcPr>
            <w:tcW w:w="1082" w:type="dxa"/>
          </w:tcPr>
          <w:p w:rsidR="006C4E4A" w:rsidRDefault="004F42F8">
            <w:pPr>
              <w:rPr>
                <w:rFonts w:cs="Arial"/>
              </w:rPr>
            </w:pPr>
            <w:r>
              <w:rPr>
                <w:rFonts w:cs="Arial"/>
              </w:rPr>
              <w:t>£0</w:t>
            </w:r>
          </w:p>
        </w:tc>
        <w:tc>
          <w:tcPr>
            <w:tcW w:w="1082" w:type="dxa"/>
          </w:tcPr>
          <w:p w:rsidR="006C4E4A" w:rsidRDefault="004F42F8">
            <w:pPr>
              <w:rPr>
                <w:rFonts w:cs="Arial"/>
              </w:rPr>
            </w:pPr>
            <w:r>
              <w:rPr>
                <w:rFonts w:cs="Arial"/>
              </w:rPr>
              <w:t>£0</w:t>
            </w:r>
          </w:p>
        </w:tc>
        <w:tc>
          <w:tcPr>
            <w:tcW w:w="1083" w:type="dxa"/>
          </w:tcPr>
          <w:p w:rsidR="006C4E4A" w:rsidRDefault="004F42F8">
            <w:pPr>
              <w:rPr>
                <w:rFonts w:cs="Arial"/>
              </w:rPr>
            </w:pPr>
            <w:r>
              <w:rPr>
                <w:rFonts w:cs="Arial"/>
              </w:rPr>
              <w:t>£</w:t>
            </w:r>
            <w:r w:rsidR="006C4E4A">
              <w:rPr>
                <w:rFonts w:cs="Arial"/>
              </w:rPr>
              <w:t>5000</w:t>
            </w:r>
          </w:p>
        </w:tc>
        <w:tc>
          <w:tcPr>
            <w:tcW w:w="1083" w:type="dxa"/>
          </w:tcPr>
          <w:p w:rsidR="006C4E4A" w:rsidRDefault="004F42F8">
            <w:pPr>
              <w:rPr>
                <w:rFonts w:cs="Arial"/>
              </w:rPr>
            </w:pPr>
            <w:r>
              <w:rPr>
                <w:rFonts w:cs="Arial"/>
              </w:rPr>
              <w:t>£</w:t>
            </w:r>
            <w:r w:rsidR="006C4E4A">
              <w:rPr>
                <w:rFonts w:cs="Arial"/>
              </w:rPr>
              <w:t>1000</w:t>
            </w:r>
          </w:p>
        </w:tc>
        <w:tc>
          <w:tcPr>
            <w:tcW w:w="1083" w:type="dxa"/>
          </w:tcPr>
          <w:p w:rsidR="006C4E4A" w:rsidRDefault="004F42F8">
            <w:pPr>
              <w:rPr>
                <w:rFonts w:cs="Arial"/>
              </w:rPr>
            </w:pPr>
            <w:r>
              <w:rPr>
                <w:rFonts w:cs="Arial"/>
              </w:rPr>
              <w:t>£</w:t>
            </w:r>
            <w:r w:rsidR="006C4E4A">
              <w:rPr>
                <w:rFonts w:cs="Arial"/>
              </w:rPr>
              <w:t>0</w:t>
            </w:r>
          </w:p>
        </w:tc>
        <w:tc>
          <w:tcPr>
            <w:tcW w:w="1083" w:type="dxa"/>
          </w:tcPr>
          <w:p w:rsidR="006C4E4A" w:rsidRDefault="004F42F8">
            <w:pPr>
              <w:rPr>
                <w:rFonts w:cs="Arial"/>
              </w:rPr>
            </w:pPr>
            <w:r>
              <w:rPr>
                <w:rFonts w:cs="Arial"/>
              </w:rPr>
              <w:t>£</w:t>
            </w:r>
            <w:r w:rsidR="006C4E4A">
              <w:rPr>
                <w:rFonts w:cs="Arial"/>
              </w:rPr>
              <w:t>1000</w:t>
            </w:r>
          </w:p>
        </w:tc>
        <w:tc>
          <w:tcPr>
            <w:tcW w:w="1083" w:type="dxa"/>
          </w:tcPr>
          <w:p w:rsidR="006C4E4A" w:rsidRDefault="004F42F8">
            <w:pPr>
              <w:rPr>
                <w:rFonts w:cs="Arial"/>
              </w:rPr>
            </w:pPr>
            <w:r>
              <w:rPr>
                <w:rFonts w:cs="Arial"/>
              </w:rPr>
              <w:t>£</w:t>
            </w:r>
            <w:r w:rsidR="006C4E4A">
              <w:rPr>
                <w:rFonts w:cs="Arial"/>
              </w:rPr>
              <w:t>3000</w:t>
            </w:r>
          </w:p>
        </w:tc>
        <w:tc>
          <w:tcPr>
            <w:tcW w:w="1083" w:type="dxa"/>
          </w:tcPr>
          <w:p w:rsidR="006C4E4A" w:rsidRDefault="004F42F8">
            <w:pPr>
              <w:rPr>
                <w:rFonts w:cs="Arial"/>
              </w:rPr>
            </w:pPr>
            <w:r>
              <w:rPr>
                <w:rFonts w:cs="Arial"/>
              </w:rPr>
              <w:t>£</w:t>
            </w:r>
            <w:r w:rsidR="006C4E4A">
              <w:rPr>
                <w:rFonts w:cs="Arial"/>
              </w:rPr>
              <w:t>7000</w:t>
            </w:r>
          </w:p>
        </w:tc>
      </w:tr>
      <w:tr w:rsidR="006C4E4A" w:rsidTr="005F48E9">
        <w:tc>
          <w:tcPr>
            <w:tcW w:w="1192" w:type="dxa"/>
          </w:tcPr>
          <w:p w:rsidR="006C4E4A" w:rsidRDefault="006C4E4A">
            <w:pPr>
              <w:rPr>
                <w:rFonts w:cs="Arial"/>
              </w:rPr>
            </w:pPr>
            <w:r>
              <w:rPr>
                <w:rFonts w:cs="Arial"/>
              </w:rPr>
              <w:t>Incentive 5%</w:t>
            </w:r>
          </w:p>
        </w:tc>
        <w:tc>
          <w:tcPr>
            <w:tcW w:w="1082" w:type="dxa"/>
          </w:tcPr>
          <w:p w:rsidR="006C4E4A" w:rsidRDefault="004F42F8">
            <w:pPr>
              <w:rPr>
                <w:rFonts w:cs="Arial"/>
              </w:rPr>
            </w:pPr>
            <w:r>
              <w:rPr>
                <w:rFonts w:cs="Arial"/>
              </w:rPr>
              <w:t>£</w:t>
            </w:r>
            <w:r w:rsidR="006C4E4A">
              <w:rPr>
                <w:rFonts w:cs="Arial"/>
              </w:rPr>
              <w:t>100</w:t>
            </w:r>
          </w:p>
        </w:tc>
        <w:tc>
          <w:tcPr>
            <w:tcW w:w="1082" w:type="dxa"/>
          </w:tcPr>
          <w:p w:rsidR="006C4E4A" w:rsidRDefault="004F42F8">
            <w:pPr>
              <w:rPr>
                <w:rFonts w:cs="Arial"/>
              </w:rPr>
            </w:pPr>
            <w:r>
              <w:rPr>
                <w:rFonts w:cs="Arial"/>
              </w:rPr>
              <w:t>£</w:t>
            </w:r>
            <w:r w:rsidR="006C4E4A">
              <w:rPr>
                <w:rFonts w:cs="Arial"/>
              </w:rPr>
              <w:t>50</w:t>
            </w:r>
          </w:p>
        </w:tc>
        <w:tc>
          <w:tcPr>
            <w:tcW w:w="1083" w:type="dxa"/>
          </w:tcPr>
          <w:p w:rsidR="006C4E4A" w:rsidRDefault="004F42F8">
            <w:pPr>
              <w:rPr>
                <w:rFonts w:cs="Arial"/>
              </w:rPr>
            </w:pPr>
            <w:r>
              <w:rPr>
                <w:rFonts w:cs="Arial"/>
              </w:rPr>
              <w:t>£</w:t>
            </w:r>
            <w:r w:rsidR="006C4E4A">
              <w:rPr>
                <w:rFonts w:cs="Arial"/>
              </w:rPr>
              <w:t>300</w:t>
            </w:r>
          </w:p>
        </w:tc>
        <w:tc>
          <w:tcPr>
            <w:tcW w:w="1083" w:type="dxa"/>
          </w:tcPr>
          <w:p w:rsidR="006C4E4A" w:rsidRDefault="004F42F8">
            <w:pPr>
              <w:rPr>
                <w:rFonts w:cs="Arial"/>
              </w:rPr>
            </w:pPr>
            <w:r>
              <w:rPr>
                <w:rFonts w:cs="Arial"/>
              </w:rPr>
              <w:t>£</w:t>
            </w:r>
            <w:r w:rsidR="006C4E4A">
              <w:rPr>
                <w:rFonts w:cs="Arial"/>
              </w:rPr>
              <w:t>150</w:t>
            </w:r>
          </w:p>
        </w:tc>
        <w:tc>
          <w:tcPr>
            <w:tcW w:w="1083" w:type="dxa"/>
          </w:tcPr>
          <w:p w:rsidR="006C4E4A" w:rsidRDefault="004F42F8">
            <w:pPr>
              <w:rPr>
                <w:rFonts w:cs="Arial"/>
              </w:rPr>
            </w:pPr>
            <w:r>
              <w:rPr>
                <w:rFonts w:cs="Arial"/>
              </w:rPr>
              <w:t>£</w:t>
            </w:r>
            <w:r w:rsidR="006C4E4A">
              <w:rPr>
                <w:rFonts w:cs="Arial"/>
              </w:rPr>
              <w:t>150</w:t>
            </w:r>
          </w:p>
        </w:tc>
        <w:tc>
          <w:tcPr>
            <w:tcW w:w="1083" w:type="dxa"/>
          </w:tcPr>
          <w:p w:rsidR="006C4E4A" w:rsidRDefault="004F42F8">
            <w:pPr>
              <w:rPr>
                <w:rFonts w:cs="Arial"/>
              </w:rPr>
            </w:pPr>
            <w:r>
              <w:rPr>
                <w:rFonts w:cs="Arial"/>
              </w:rPr>
              <w:t>£</w:t>
            </w:r>
            <w:r w:rsidR="006C4E4A">
              <w:rPr>
                <w:rFonts w:cs="Arial"/>
              </w:rPr>
              <w:t>100</w:t>
            </w:r>
          </w:p>
        </w:tc>
        <w:tc>
          <w:tcPr>
            <w:tcW w:w="1083" w:type="dxa"/>
          </w:tcPr>
          <w:p w:rsidR="006C4E4A" w:rsidRDefault="004F42F8">
            <w:pPr>
              <w:rPr>
                <w:rFonts w:cs="Arial"/>
              </w:rPr>
            </w:pPr>
            <w:r>
              <w:rPr>
                <w:rFonts w:cs="Arial"/>
              </w:rPr>
              <w:t>£</w:t>
            </w:r>
            <w:r w:rsidR="006C4E4A">
              <w:rPr>
                <w:rFonts w:cs="Arial"/>
              </w:rPr>
              <w:t>150</w:t>
            </w:r>
          </w:p>
        </w:tc>
        <w:tc>
          <w:tcPr>
            <w:tcW w:w="1083" w:type="dxa"/>
          </w:tcPr>
          <w:p w:rsidR="006C4E4A" w:rsidRDefault="004F42F8">
            <w:pPr>
              <w:rPr>
                <w:rFonts w:cs="Arial"/>
              </w:rPr>
            </w:pPr>
            <w:r>
              <w:rPr>
                <w:rFonts w:cs="Arial"/>
              </w:rPr>
              <w:t>£</w:t>
            </w:r>
            <w:r w:rsidR="006C4E4A">
              <w:rPr>
                <w:rFonts w:cs="Arial"/>
              </w:rPr>
              <w:t>350</w:t>
            </w:r>
          </w:p>
        </w:tc>
      </w:tr>
      <w:tr w:rsidR="006C4E4A" w:rsidTr="005F48E9">
        <w:tc>
          <w:tcPr>
            <w:tcW w:w="1192" w:type="dxa"/>
          </w:tcPr>
          <w:p w:rsidR="006C4E4A" w:rsidRDefault="006C4E4A" w:rsidP="006C4E4A">
            <w:pPr>
              <w:rPr>
                <w:rFonts w:cs="Arial"/>
              </w:rPr>
            </w:pPr>
            <w:r>
              <w:rPr>
                <w:rFonts w:cs="Arial"/>
              </w:rPr>
              <w:t>Posted Quarterly</w:t>
            </w:r>
          </w:p>
        </w:tc>
        <w:tc>
          <w:tcPr>
            <w:tcW w:w="1082" w:type="dxa"/>
          </w:tcPr>
          <w:p w:rsidR="006C4E4A" w:rsidRDefault="004F42F8">
            <w:pPr>
              <w:rPr>
                <w:rFonts w:cs="Arial"/>
              </w:rPr>
            </w:pPr>
            <w:r>
              <w:rPr>
                <w:rFonts w:cs="Arial"/>
              </w:rPr>
              <w:t>£</w:t>
            </w:r>
            <w:r w:rsidR="006C4E4A">
              <w:rPr>
                <w:rFonts w:cs="Arial"/>
              </w:rPr>
              <w:t>100</w:t>
            </w:r>
          </w:p>
        </w:tc>
        <w:tc>
          <w:tcPr>
            <w:tcW w:w="1082" w:type="dxa"/>
          </w:tcPr>
          <w:p w:rsidR="006C4E4A" w:rsidRDefault="006C4E4A">
            <w:pPr>
              <w:rPr>
                <w:rFonts w:cs="Arial"/>
              </w:rPr>
            </w:pPr>
          </w:p>
        </w:tc>
        <w:tc>
          <w:tcPr>
            <w:tcW w:w="1083" w:type="dxa"/>
          </w:tcPr>
          <w:p w:rsidR="006C4E4A" w:rsidRDefault="006C4E4A">
            <w:pPr>
              <w:rPr>
                <w:rFonts w:cs="Arial"/>
              </w:rPr>
            </w:pPr>
          </w:p>
        </w:tc>
        <w:tc>
          <w:tcPr>
            <w:tcW w:w="1083" w:type="dxa"/>
          </w:tcPr>
          <w:p w:rsidR="006C4E4A" w:rsidRDefault="004F42F8">
            <w:pPr>
              <w:rPr>
                <w:rFonts w:cs="Arial"/>
              </w:rPr>
            </w:pPr>
            <w:r>
              <w:rPr>
                <w:rFonts w:cs="Arial"/>
              </w:rPr>
              <w:t>£</w:t>
            </w:r>
            <w:r w:rsidR="006C4E4A">
              <w:rPr>
                <w:rFonts w:cs="Arial"/>
              </w:rPr>
              <w:t>500</w:t>
            </w:r>
          </w:p>
        </w:tc>
        <w:tc>
          <w:tcPr>
            <w:tcW w:w="1083" w:type="dxa"/>
          </w:tcPr>
          <w:p w:rsidR="006C4E4A" w:rsidRDefault="006C4E4A">
            <w:pPr>
              <w:rPr>
                <w:rFonts w:cs="Arial"/>
              </w:rPr>
            </w:pPr>
          </w:p>
        </w:tc>
        <w:tc>
          <w:tcPr>
            <w:tcW w:w="1083" w:type="dxa"/>
          </w:tcPr>
          <w:p w:rsidR="006C4E4A" w:rsidRDefault="006C4E4A">
            <w:pPr>
              <w:rPr>
                <w:rFonts w:cs="Arial"/>
              </w:rPr>
            </w:pPr>
          </w:p>
        </w:tc>
        <w:tc>
          <w:tcPr>
            <w:tcW w:w="1083" w:type="dxa"/>
          </w:tcPr>
          <w:p w:rsidR="006C4E4A" w:rsidRDefault="004F42F8">
            <w:pPr>
              <w:rPr>
                <w:rFonts w:cs="Arial"/>
              </w:rPr>
            </w:pPr>
            <w:r>
              <w:rPr>
                <w:rFonts w:cs="Arial"/>
              </w:rPr>
              <w:t>£</w:t>
            </w:r>
            <w:r w:rsidR="006C4E4A">
              <w:rPr>
                <w:rFonts w:cs="Arial"/>
              </w:rPr>
              <w:t>400</w:t>
            </w:r>
          </w:p>
        </w:tc>
        <w:tc>
          <w:tcPr>
            <w:tcW w:w="1083" w:type="dxa"/>
          </w:tcPr>
          <w:p w:rsidR="006C4E4A" w:rsidRDefault="006C4E4A">
            <w:pPr>
              <w:rPr>
                <w:rFonts w:cs="Arial"/>
              </w:rPr>
            </w:pPr>
          </w:p>
        </w:tc>
      </w:tr>
    </w:tbl>
    <w:p w:rsidR="00560BB9" w:rsidRPr="005838D1" w:rsidRDefault="00560BB9">
      <w:pPr>
        <w:rPr>
          <w:rFonts w:cs="Arial"/>
        </w:rPr>
      </w:pPr>
    </w:p>
    <w:sectPr w:rsidR="00560BB9" w:rsidRPr="005838D1" w:rsidSect="001D6484">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51B" w:rsidRDefault="0046551B" w:rsidP="0070025A">
      <w:pPr>
        <w:spacing w:after="0" w:line="240" w:lineRule="auto"/>
      </w:pPr>
      <w:r>
        <w:separator/>
      </w:r>
    </w:p>
  </w:endnote>
  <w:endnote w:type="continuationSeparator" w:id="0">
    <w:p w:rsidR="0046551B" w:rsidRDefault="0046551B" w:rsidP="0070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1B" w:rsidRDefault="0046551B" w:rsidP="008E3A4F">
    <w:pPr>
      <w:pStyle w:val="Footer"/>
      <w:tabs>
        <w:tab w:val="left" w:pos="7371"/>
      </w:tabs>
      <w:rPr>
        <w:sz w:val="16"/>
        <w:szCs w:val="16"/>
      </w:rPr>
    </w:pPr>
  </w:p>
  <w:p w:rsidR="0046551B" w:rsidRPr="001D6484" w:rsidRDefault="0046551B" w:rsidP="008E3A4F">
    <w:pPr>
      <w:pStyle w:val="Footer"/>
      <w:tabs>
        <w:tab w:val="left" w:pos="7371"/>
      </w:tabs>
      <w:rPr>
        <w:sz w:val="16"/>
        <w:szCs w:val="16"/>
      </w:rPr>
    </w:pPr>
    <w:r>
      <w:rPr>
        <w:sz w:val="16"/>
        <w:szCs w:val="16"/>
      </w:rPr>
      <w:t xml:space="preserve">Paul Lynch, RKEO Project Delivery </w:t>
    </w:r>
    <w:r w:rsidRPr="001D6484">
      <w:rPr>
        <w:sz w:val="16"/>
        <w:szCs w:val="16"/>
      </w:rPr>
      <w:t xml:space="preserve">Manager </w:t>
    </w:r>
    <w:r w:rsidRPr="001D6484">
      <w:rPr>
        <w:sz w:val="16"/>
        <w:szCs w:val="16"/>
      </w:rPr>
      <w:tab/>
    </w:r>
    <w:r w:rsidRPr="001D6484">
      <w:rPr>
        <w:sz w:val="16"/>
        <w:szCs w:val="16"/>
      </w:rPr>
      <w:tab/>
    </w:r>
    <w:r>
      <w:rPr>
        <w:sz w:val="16"/>
        <w:szCs w:val="16"/>
      </w:rPr>
      <w:t>February 2018</w:t>
    </w:r>
  </w:p>
  <w:p w:rsidR="0046551B" w:rsidRDefault="00465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51B" w:rsidRDefault="0046551B" w:rsidP="0070025A">
      <w:pPr>
        <w:spacing w:after="0" w:line="240" w:lineRule="auto"/>
      </w:pPr>
      <w:r>
        <w:separator/>
      </w:r>
    </w:p>
  </w:footnote>
  <w:footnote w:type="continuationSeparator" w:id="0">
    <w:p w:rsidR="0046551B" w:rsidRDefault="0046551B" w:rsidP="0070025A">
      <w:pPr>
        <w:spacing w:after="0" w:line="240" w:lineRule="auto"/>
      </w:pPr>
      <w:r>
        <w:continuationSeparator/>
      </w:r>
    </w:p>
  </w:footnote>
  <w:footnote w:id="1">
    <w:p w:rsidR="0046551B" w:rsidRDefault="0046551B">
      <w:pPr>
        <w:pStyle w:val="FootnoteText"/>
      </w:pPr>
      <w:r>
        <w:rPr>
          <w:rStyle w:val="FootnoteReference"/>
        </w:rPr>
        <w:footnoteRef/>
      </w:r>
      <w:r>
        <w:t xml:space="preserve"> Financial Years run from 1</w:t>
      </w:r>
      <w:r w:rsidRPr="00B115AB">
        <w:rPr>
          <w:vertAlign w:val="superscript"/>
        </w:rPr>
        <w:t>st</w:t>
      </w:r>
      <w:r>
        <w:t xml:space="preserve"> August to 31</w:t>
      </w:r>
      <w:r w:rsidRPr="00B115AB">
        <w:rPr>
          <w:vertAlign w:val="superscript"/>
        </w:rPr>
        <w:t>st</w:t>
      </w:r>
      <w:r>
        <w:t xml:space="preserve"> July the following year</w:t>
      </w:r>
    </w:p>
  </w:footnote>
  <w:footnote w:id="2">
    <w:p w:rsidR="0046551B" w:rsidRDefault="0046551B">
      <w:pPr>
        <w:pStyle w:val="FootnoteText"/>
      </w:pPr>
      <w:r>
        <w:rPr>
          <w:rStyle w:val="FootnoteReference"/>
        </w:rPr>
        <w:footnoteRef/>
      </w:r>
      <w:r>
        <w:t xml:space="preserve"> Coded to 13** account codes.  This decision is made using the</w:t>
      </w:r>
      <w:hyperlink r:id="rId1" w:anchor=".Wp6EwE-IBIw" w:history="1">
        <w:r w:rsidRPr="002521F1">
          <w:rPr>
            <w:rStyle w:val="Hyperlink"/>
          </w:rPr>
          <w:t xml:space="preserve"> </w:t>
        </w:r>
        <w:proofErr w:type="spellStart"/>
        <w:r w:rsidRPr="002521F1">
          <w:rPr>
            <w:rStyle w:val="Hyperlink"/>
          </w:rPr>
          <w:t>Frascati</w:t>
        </w:r>
        <w:proofErr w:type="spellEnd"/>
      </w:hyperlink>
      <w:r>
        <w:t xml:space="preserve"> (pg. 44) definition of research and is agreed by RKEO in conjunction with the PI at the pre-award stage.</w:t>
      </w:r>
    </w:p>
  </w:footnote>
  <w:footnote w:id="3">
    <w:p w:rsidR="0046551B" w:rsidRDefault="0046551B">
      <w:pPr>
        <w:pStyle w:val="FootnoteText"/>
      </w:pPr>
      <w:r>
        <w:rPr>
          <w:rStyle w:val="FootnoteReference"/>
        </w:rPr>
        <w:footnoteRef/>
      </w:r>
      <w:r>
        <w:t xml:space="preserve"> An ECR, for this purpose, is defined as being within 8 years of receiving their PhD</w:t>
      </w:r>
    </w:p>
  </w:footnote>
  <w:footnote w:id="4">
    <w:p w:rsidR="0046551B" w:rsidRDefault="0046551B">
      <w:pPr>
        <w:pStyle w:val="FootnoteText"/>
      </w:pPr>
      <w:r>
        <w:rPr>
          <w:rStyle w:val="FootnoteReference"/>
        </w:rPr>
        <w:footnoteRef/>
      </w:r>
      <w:r>
        <w:t xml:space="preserve"> All other non-ECR staff</w:t>
      </w:r>
    </w:p>
  </w:footnote>
  <w:footnote w:id="5">
    <w:p w:rsidR="0046551B" w:rsidRDefault="0046551B">
      <w:pPr>
        <w:pStyle w:val="FootnoteText"/>
      </w:pPr>
      <w:r>
        <w:rPr>
          <w:rStyle w:val="FootnoteReference"/>
        </w:rPr>
        <w:footnoteRef/>
      </w:r>
      <w:r>
        <w:t xml:space="preserve"> The date the project actually starts will be the date used to place it in a year as this is consistent between projects and relates to how the incentive will be paid (as income is recognised).</w:t>
      </w:r>
    </w:p>
  </w:footnote>
  <w:footnote w:id="6">
    <w:p w:rsidR="0046551B" w:rsidRDefault="0046551B">
      <w:pPr>
        <w:pStyle w:val="FootnoteText"/>
      </w:pPr>
      <w:r>
        <w:rPr>
          <w:rStyle w:val="FootnoteReference"/>
        </w:rPr>
        <w:footnoteRef/>
      </w:r>
      <w:r>
        <w:t xml:space="preserve"> The incentive will be paid to the end of the project and spend will be allowed up to six months after the end-date if funds remain.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82E"/>
    <w:multiLevelType w:val="hybridMultilevel"/>
    <w:tmpl w:val="245C3B84"/>
    <w:lvl w:ilvl="0" w:tplc="B62436EA">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DF1E00"/>
    <w:multiLevelType w:val="hybridMultilevel"/>
    <w:tmpl w:val="89142D08"/>
    <w:lvl w:ilvl="0" w:tplc="E14A9898">
      <w:start w:val="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5B72A9"/>
    <w:multiLevelType w:val="hybridMultilevel"/>
    <w:tmpl w:val="1BA0220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6B1A1152"/>
    <w:multiLevelType w:val="hybridMultilevel"/>
    <w:tmpl w:val="5A50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822D19"/>
    <w:multiLevelType w:val="hybridMultilevel"/>
    <w:tmpl w:val="9D7A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3C"/>
    <w:rsid w:val="00001413"/>
    <w:rsid w:val="00012378"/>
    <w:rsid w:val="00024039"/>
    <w:rsid w:val="00027B53"/>
    <w:rsid w:val="00043F4E"/>
    <w:rsid w:val="0005468A"/>
    <w:rsid w:val="000546EC"/>
    <w:rsid w:val="00091892"/>
    <w:rsid w:val="000C183C"/>
    <w:rsid w:val="000D6E59"/>
    <w:rsid w:val="000E332E"/>
    <w:rsid w:val="00115A97"/>
    <w:rsid w:val="001623F8"/>
    <w:rsid w:val="00167337"/>
    <w:rsid w:val="001B26F3"/>
    <w:rsid w:val="001D6484"/>
    <w:rsid w:val="002106A1"/>
    <w:rsid w:val="0023361F"/>
    <w:rsid w:val="00240EF1"/>
    <w:rsid w:val="002450E8"/>
    <w:rsid w:val="002521F1"/>
    <w:rsid w:val="00255AA5"/>
    <w:rsid w:val="00291F7A"/>
    <w:rsid w:val="002B3AEB"/>
    <w:rsid w:val="002E4878"/>
    <w:rsid w:val="002E70FC"/>
    <w:rsid w:val="00310696"/>
    <w:rsid w:val="00310C82"/>
    <w:rsid w:val="00324406"/>
    <w:rsid w:val="0033587B"/>
    <w:rsid w:val="00354694"/>
    <w:rsid w:val="00383EF4"/>
    <w:rsid w:val="003B663C"/>
    <w:rsid w:val="003C506B"/>
    <w:rsid w:val="003E0108"/>
    <w:rsid w:val="003F182F"/>
    <w:rsid w:val="003F3152"/>
    <w:rsid w:val="003F458A"/>
    <w:rsid w:val="00424B92"/>
    <w:rsid w:val="00440D53"/>
    <w:rsid w:val="004558D3"/>
    <w:rsid w:val="0046551B"/>
    <w:rsid w:val="00475E8C"/>
    <w:rsid w:val="00480799"/>
    <w:rsid w:val="00483ED9"/>
    <w:rsid w:val="00490540"/>
    <w:rsid w:val="004A73E8"/>
    <w:rsid w:val="004F03A9"/>
    <w:rsid w:val="004F42F8"/>
    <w:rsid w:val="00502B1C"/>
    <w:rsid w:val="00516831"/>
    <w:rsid w:val="0054580A"/>
    <w:rsid w:val="00560BB9"/>
    <w:rsid w:val="00576362"/>
    <w:rsid w:val="005838D1"/>
    <w:rsid w:val="005C506E"/>
    <w:rsid w:val="005D2B2E"/>
    <w:rsid w:val="005E04E5"/>
    <w:rsid w:val="005E240F"/>
    <w:rsid w:val="005F48E9"/>
    <w:rsid w:val="006875C7"/>
    <w:rsid w:val="006A5B4C"/>
    <w:rsid w:val="006B0983"/>
    <w:rsid w:val="006C4A54"/>
    <w:rsid w:val="006C4E4A"/>
    <w:rsid w:val="006C7BF1"/>
    <w:rsid w:val="006E7418"/>
    <w:rsid w:val="0070025A"/>
    <w:rsid w:val="007341CB"/>
    <w:rsid w:val="00765AAB"/>
    <w:rsid w:val="00771187"/>
    <w:rsid w:val="007A4110"/>
    <w:rsid w:val="007A5235"/>
    <w:rsid w:val="007B31EA"/>
    <w:rsid w:val="007C6161"/>
    <w:rsid w:val="007D77F3"/>
    <w:rsid w:val="007E0CB0"/>
    <w:rsid w:val="007E1766"/>
    <w:rsid w:val="007F0F39"/>
    <w:rsid w:val="007F1BD0"/>
    <w:rsid w:val="007F43EC"/>
    <w:rsid w:val="007F63E5"/>
    <w:rsid w:val="00801E95"/>
    <w:rsid w:val="0080685C"/>
    <w:rsid w:val="00807038"/>
    <w:rsid w:val="00842A9B"/>
    <w:rsid w:val="00856366"/>
    <w:rsid w:val="00886CA2"/>
    <w:rsid w:val="008B3B86"/>
    <w:rsid w:val="008B5418"/>
    <w:rsid w:val="008C0E7D"/>
    <w:rsid w:val="008C2B96"/>
    <w:rsid w:val="008C4FF2"/>
    <w:rsid w:val="008D17A3"/>
    <w:rsid w:val="008E3A4F"/>
    <w:rsid w:val="008F2589"/>
    <w:rsid w:val="00921647"/>
    <w:rsid w:val="009226D3"/>
    <w:rsid w:val="009527B5"/>
    <w:rsid w:val="0097512E"/>
    <w:rsid w:val="0098596A"/>
    <w:rsid w:val="00994A75"/>
    <w:rsid w:val="009978C5"/>
    <w:rsid w:val="009A569D"/>
    <w:rsid w:val="009C78A6"/>
    <w:rsid w:val="009D7694"/>
    <w:rsid w:val="009F49E8"/>
    <w:rsid w:val="00A31206"/>
    <w:rsid w:val="00A41EE0"/>
    <w:rsid w:val="00A4412A"/>
    <w:rsid w:val="00A87F93"/>
    <w:rsid w:val="00A97ED5"/>
    <w:rsid w:val="00AB2DD1"/>
    <w:rsid w:val="00AB38B2"/>
    <w:rsid w:val="00AC425E"/>
    <w:rsid w:val="00AE3AAC"/>
    <w:rsid w:val="00B02F5F"/>
    <w:rsid w:val="00B115AB"/>
    <w:rsid w:val="00B262D3"/>
    <w:rsid w:val="00B62DC6"/>
    <w:rsid w:val="00B674A0"/>
    <w:rsid w:val="00BE749F"/>
    <w:rsid w:val="00BF0E38"/>
    <w:rsid w:val="00BF659E"/>
    <w:rsid w:val="00C07B74"/>
    <w:rsid w:val="00C21DC0"/>
    <w:rsid w:val="00C511CF"/>
    <w:rsid w:val="00C51808"/>
    <w:rsid w:val="00C8212A"/>
    <w:rsid w:val="00C946CB"/>
    <w:rsid w:val="00CE4498"/>
    <w:rsid w:val="00CE65F3"/>
    <w:rsid w:val="00CF7956"/>
    <w:rsid w:val="00D24A0D"/>
    <w:rsid w:val="00D262C8"/>
    <w:rsid w:val="00D470E7"/>
    <w:rsid w:val="00DB4A66"/>
    <w:rsid w:val="00DD18DF"/>
    <w:rsid w:val="00DE63D9"/>
    <w:rsid w:val="00E225E0"/>
    <w:rsid w:val="00E46097"/>
    <w:rsid w:val="00E70B88"/>
    <w:rsid w:val="00E91A1B"/>
    <w:rsid w:val="00EB1914"/>
    <w:rsid w:val="00ED14B6"/>
    <w:rsid w:val="00EF62F8"/>
    <w:rsid w:val="00F057A0"/>
    <w:rsid w:val="00F16661"/>
    <w:rsid w:val="00F20118"/>
    <w:rsid w:val="00F21A13"/>
    <w:rsid w:val="00F57B21"/>
    <w:rsid w:val="00F95979"/>
    <w:rsid w:val="00FB74B9"/>
    <w:rsid w:val="00FE3A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75"/>
    <w:rPr>
      <w:rFonts w:ascii="Tahoma" w:hAnsi="Tahoma" w:cs="Tahoma"/>
      <w:sz w:val="16"/>
      <w:szCs w:val="16"/>
    </w:rPr>
  </w:style>
  <w:style w:type="paragraph" w:styleId="FootnoteText">
    <w:name w:val="footnote text"/>
    <w:basedOn w:val="Normal"/>
    <w:link w:val="FootnoteTextChar"/>
    <w:uiPriority w:val="99"/>
    <w:semiHidden/>
    <w:unhideWhenUsed/>
    <w:rsid w:val="00700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25A"/>
    <w:rPr>
      <w:sz w:val="20"/>
      <w:szCs w:val="20"/>
    </w:rPr>
  </w:style>
  <w:style w:type="character" w:styleId="FootnoteReference">
    <w:name w:val="footnote reference"/>
    <w:basedOn w:val="DefaultParagraphFont"/>
    <w:uiPriority w:val="99"/>
    <w:semiHidden/>
    <w:unhideWhenUsed/>
    <w:rsid w:val="0070025A"/>
    <w:rPr>
      <w:vertAlign w:val="superscript"/>
    </w:rPr>
  </w:style>
  <w:style w:type="paragraph" w:styleId="ListParagraph">
    <w:name w:val="List Paragraph"/>
    <w:basedOn w:val="Normal"/>
    <w:uiPriority w:val="34"/>
    <w:qFormat/>
    <w:rsid w:val="008C2B96"/>
    <w:pPr>
      <w:ind w:left="720"/>
      <w:contextualSpacing/>
    </w:pPr>
  </w:style>
  <w:style w:type="character" w:styleId="Hyperlink">
    <w:name w:val="Hyperlink"/>
    <w:basedOn w:val="DefaultParagraphFont"/>
    <w:uiPriority w:val="99"/>
    <w:unhideWhenUsed/>
    <w:rsid w:val="00C8212A"/>
    <w:rPr>
      <w:color w:val="0000FF" w:themeColor="hyperlink"/>
      <w:u w:val="single"/>
    </w:rPr>
  </w:style>
  <w:style w:type="paragraph" w:styleId="Header">
    <w:name w:val="header"/>
    <w:basedOn w:val="Normal"/>
    <w:link w:val="HeaderChar"/>
    <w:uiPriority w:val="99"/>
    <w:unhideWhenUsed/>
    <w:rsid w:val="008E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4F"/>
  </w:style>
  <w:style w:type="paragraph" w:styleId="Footer">
    <w:name w:val="footer"/>
    <w:basedOn w:val="Normal"/>
    <w:link w:val="FooterChar"/>
    <w:uiPriority w:val="99"/>
    <w:unhideWhenUsed/>
    <w:rsid w:val="008E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A4F"/>
  </w:style>
  <w:style w:type="character" w:styleId="CommentReference">
    <w:name w:val="annotation reference"/>
    <w:basedOn w:val="DefaultParagraphFont"/>
    <w:uiPriority w:val="99"/>
    <w:semiHidden/>
    <w:unhideWhenUsed/>
    <w:rsid w:val="00354694"/>
    <w:rPr>
      <w:sz w:val="16"/>
      <w:szCs w:val="16"/>
    </w:rPr>
  </w:style>
  <w:style w:type="paragraph" w:styleId="CommentText">
    <w:name w:val="annotation text"/>
    <w:basedOn w:val="Normal"/>
    <w:link w:val="CommentTextChar"/>
    <w:uiPriority w:val="99"/>
    <w:semiHidden/>
    <w:unhideWhenUsed/>
    <w:rsid w:val="00354694"/>
    <w:pPr>
      <w:spacing w:line="240" w:lineRule="auto"/>
    </w:pPr>
    <w:rPr>
      <w:sz w:val="20"/>
      <w:szCs w:val="20"/>
    </w:rPr>
  </w:style>
  <w:style w:type="character" w:customStyle="1" w:styleId="CommentTextChar">
    <w:name w:val="Comment Text Char"/>
    <w:basedOn w:val="DefaultParagraphFont"/>
    <w:link w:val="CommentText"/>
    <w:uiPriority w:val="99"/>
    <w:semiHidden/>
    <w:rsid w:val="00354694"/>
    <w:rPr>
      <w:sz w:val="20"/>
      <w:szCs w:val="20"/>
    </w:rPr>
  </w:style>
  <w:style w:type="paragraph" w:styleId="CommentSubject">
    <w:name w:val="annotation subject"/>
    <w:basedOn w:val="CommentText"/>
    <w:next w:val="CommentText"/>
    <w:link w:val="CommentSubjectChar"/>
    <w:uiPriority w:val="99"/>
    <w:semiHidden/>
    <w:unhideWhenUsed/>
    <w:rsid w:val="00354694"/>
    <w:rPr>
      <w:b/>
      <w:bCs/>
    </w:rPr>
  </w:style>
  <w:style w:type="character" w:customStyle="1" w:styleId="CommentSubjectChar">
    <w:name w:val="Comment Subject Char"/>
    <w:basedOn w:val="CommentTextChar"/>
    <w:link w:val="CommentSubject"/>
    <w:uiPriority w:val="99"/>
    <w:semiHidden/>
    <w:rsid w:val="00354694"/>
    <w:rPr>
      <w:b/>
      <w:bCs/>
      <w:sz w:val="20"/>
      <w:szCs w:val="20"/>
    </w:rPr>
  </w:style>
  <w:style w:type="table" w:styleId="TableGrid">
    <w:name w:val="Table Grid"/>
    <w:basedOn w:val="TableNormal"/>
    <w:uiPriority w:val="59"/>
    <w:rsid w:val="00B1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60B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0BB9"/>
    <w:rPr>
      <w:sz w:val="20"/>
      <w:szCs w:val="20"/>
    </w:rPr>
  </w:style>
  <w:style w:type="character" w:styleId="EndnoteReference">
    <w:name w:val="endnote reference"/>
    <w:basedOn w:val="DefaultParagraphFont"/>
    <w:uiPriority w:val="99"/>
    <w:semiHidden/>
    <w:unhideWhenUsed/>
    <w:rsid w:val="00560BB9"/>
    <w:rPr>
      <w:vertAlign w:val="superscript"/>
    </w:rPr>
  </w:style>
  <w:style w:type="character" w:styleId="FollowedHyperlink">
    <w:name w:val="FollowedHyperlink"/>
    <w:basedOn w:val="DefaultParagraphFont"/>
    <w:uiPriority w:val="99"/>
    <w:semiHidden/>
    <w:unhideWhenUsed/>
    <w:rsid w:val="002521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75"/>
    <w:rPr>
      <w:rFonts w:ascii="Tahoma" w:hAnsi="Tahoma" w:cs="Tahoma"/>
      <w:sz w:val="16"/>
      <w:szCs w:val="16"/>
    </w:rPr>
  </w:style>
  <w:style w:type="paragraph" w:styleId="FootnoteText">
    <w:name w:val="footnote text"/>
    <w:basedOn w:val="Normal"/>
    <w:link w:val="FootnoteTextChar"/>
    <w:uiPriority w:val="99"/>
    <w:semiHidden/>
    <w:unhideWhenUsed/>
    <w:rsid w:val="00700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25A"/>
    <w:rPr>
      <w:sz w:val="20"/>
      <w:szCs w:val="20"/>
    </w:rPr>
  </w:style>
  <w:style w:type="character" w:styleId="FootnoteReference">
    <w:name w:val="footnote reference"/>
    <w:basedOn w:val="DefaultParagraphFont"/>
    <w:uiPriority w:val="99"/>
    <w:semiHidden/>
    <w:unhideWhenUsed/>
    <w:rsid w:val="0070025A"/>
    <w:rPr>
      <w:vertAlign w:val="superscript"/>
    </w:rPr>
  </w:style>
  <w:style w:type="paragraph" w:styleId="ListParagraph">
    <w:name w:val="List Paragraph"/>
    <w:basedOn w:val="Normal"/>
    <w:uiPriority w:val="34"/>
    <w:qFormat/>
    <w:rsid w:val="008C2B96"/>
    <w:pPr>
      <w:ind w:left="720"/>
      <w:contextualSpacing/>
    </w:pPr>
  </w:style>
  <w:style w:type="character" w:styleId="Hyperlink">
    <w:name w:val="Hyperlink"/>
    <w:basedOn w:val="DefaultParagraphFont"/>
    <w:uiPriority w:val="99"/>
    <w:unhideWhenUsed/>
    <w:rsid w:val="00C8212A"/>
    <w:rPr>
      <w:color w:val="0000FF" w:themeColor="hyperlink"/>
      <w:u w:val="single"/>
    </w:rPr>
  </w:style>
  <w:style w:type="paragraph" w:styleId="Header">
    <w:name w:val="header"/>
    <w:basedOn w:val="Normal"/>
    <w:link w:val="HeaderChar"/>
    <w:uiPriority w:val="99"/>
    <w:unhideWhenUsed/>
    <w:rsid w:val="008E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4F"/>
  </w:style>
  <w:style w:type="paragraph" w:styleId="Footer">
    <w:name w:val="footer"/>
    <w:basedOn w:val="Normal"/>
    <w:link w:val="FooterChar"/>
    <w:uiPriority w:val="99"/>
    <w:unhideWhenUsed/>
    <w:rsid w:val="008E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A4F"/>
  </w:style>
  <w:style w:type="character" w:styleId="CommentReference">
    <w:name w:val="annotation reference"/>
    <w:basedOn w:val="DefaultParagraphFont"/>
    <w:uiPriority w:val="99"/>
    <w:semiHidden/>
    <w:unhideWhenUsed/>
    <w:rsid w:val="00354694"/>
    <w:rPr>
      <w:sz w:val="16"/>
      <w:szCs w:val="16"/>
    </w:rPr>
  </w:style>
  <w:style w:type="paragraph" w:styleId="CommentText">
    <w:name w:val="annotation text"/>
    <w:basedOn w:val="Normal"/>
    <w:link w:val="CommentTextChar"/>
    <w:uiPriority w:val="99"/>
    <w:semiHidden/>
    <w:unhideWhenUsed/>
    <w:rsid w:val="00354694"/>
    <w:pPr>
      <w:spacing w:line="240" w:lineRule="auto"/>
    </w:pPr>
    <w:rPr>
      <w:sz w:val="20"/>
      <w:szCs w:val="20"/>
    </w:rPr>
  </w:style>
  <w:style w:type="character" w:customStyle="1" w:styleId="CommentTextChar">
    <w:name w:val="Comment Text Char"/>
    <w:basedOn w:val="DefaultParagraphFont"/>
    <w:link w:val="CommentText"/>
    <w:uiPriority w:val="99"/>
    <w:semiHidden/>
    <w:rsid w:val="00354694"/>
    <w:rPr>
      <w:sz w:val="20"/>
      <w:szCs w:val="20"/>
    </w:rPr>
  </w:style>
  <w:style w:type="paragraph" w:styleId="CommentSubject">
    <w:name w:val="annotation subject"/>
    <w:basedOn w:val="CommentText"/>
    <w:next w:val="CommentText"/>
    <w:link w:val="CommentSubjectChar"/>
    <w:uiPriority w:val="99"/>
    <w:semiHidden/>
    <w:unhideWhenUsed/>
    <w:rsid w:val="00354694"/>
    <w:rPr>
      <w:b/>
      <w:bCs/>
    </w:rPr>
  </w:style>
  <w:style w:type="character" w:customStyle="1" w:styleId="CommentSubjectChar">
    <w:name w:val="Comment Subject Char"/>
    <w:basedOn w:val="CommentTextChar"/>
    <w:link w:val="CommentSubject"/>
    <w:uiPriority w:val="99"/>
    <w:semiHidden/>
    <w:rsid w:val="00354694"/>
    <w:rPr>
      <w:b/>
      <w:bCs/>
      <w:sz w:val="20"/>
      <w:szCs w:val="20"/>
    </w:rPr>
  </w:style>
  <w:style w:type="table" w:styleId="TableGrid">
    <w:name w:val="Table Grid"/>
    <w:basedOn w:val="TableNormal"/>
    <w:uiPriority w:val="59"/>
    <w:rsid w:val="00B1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60B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0BB9"/>
    <w:rPr>
      <w:sz w:val="20"/>
      <w:szCs w:val="20"/>
    </w:rPr>
  </w:style>
  <w:style w:type="character" w:styleId="EndnoteReference">
    <w:name w:val="endnote reference"/>
    <w:basedOn w:val="DefaultParagraphFont"/>
    <w:uiPriority w:val="99"/>
    <w:semiHidden/>
    <w:unhideWhenUsed/>
    <w:rsid w:val="00560BB9"/>
    <w:rPr>
      <w:vertAlign w:val="superscript"/>
    </w:rPr>
  </w:style>
  <w:style w:type="character" w:styleId="FollowedHyperlink">
    <w:name w:val="FollowedHyperlink"/>
    <w:basedOn w:val="DefaultParagraphFont"/>
    <w:uiPriority w:val="99"/>
    <w:semiHidden/>
    <w:unhideWhenUsed/>
    <w:rsid w:val="002521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keepeek.com/Digital-Asset-Management/oecd/science-and-technology/frascati-manual-2015_978926423901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14</Value>
    </School_x002f_PS>
    <Author0 xmlns="D259749B-A2FA-4762-BAAE-748A846B9902">
      <UserInfo>
        <DisplayName>i:0#.w|staff\plynch</DisplayName>
        <AccountId>363</AccountId>
        <AccountType/>
      </UserInfo>
    </Author0>
    <Target_x0020_Audiences xmlns="D259749B-A2FA-4762-BAAE-748A846B9902" xsi:nil="true"/>
    <_Status xmlns="http://schemas.microsoft.com/sharepoint/v3/fields" xsi:nil="true"/>
    <Published_x0020_Date xmlns="D259749B-A2FA-4762-BAAE-748A846B9902">2018-08-12T23:00:00+00:00</Published_x0020_Date>
    <Description0 xmlns="D259749B-A2FA-4762-BAAE-748A846B9902">Scheme to provide income incentive to individually and cumulatively large research grant holders</Description0>
    <Expiry_x0020_Date xmlns="D259749B-A2FA-4762-BAAE-748A846B9902">2019-08-12T23:00:00+00:00</Expiry_x0020_Date>
    <_dlc_DocId xmlns="7845b4e5-581f-4554-8843-a411c9829904">ZXDD766ENQDJ-737846793-2980</_dlc_DocId>
    <_dlc_DocIdUrl xmlns="7845b4e5-581f-4554-8843-a411c9829904">
      <Url>https://intranetsp.bournemouth.ac.uk/_layouts/15/DocIdRedir.aspx?ID=ZXDD766ENQDJ-737846793-2980</Url>
      <Description>ZXDD766ENQDJ-737846793-2980</Description>
    </_dlc_DocIdUrl>
  </documentManagement>
</p:properties>
</file>

<file path=customXml/itemProps1.xml><?xml version="1.0" encoding="utf-8"?>
<ds:datastoreItem xmlns:ds="http://schemas.openxmlformats.org/officeDocument/2006/customXml" ds:itemID="{33F239D6-BF10-430A-BFDA-9AEB911B687A}">
  <ds:schemaRefs>
    <ds:schemaRef ds:uri="http://schemas.openxmlformats.org/officeDocument/2006/bibliography"/>
  </ds:schemaRefs>
</ds:datastoreItem>
</file>

<file path=customXml/itemProps2.xml><?xml version="1.0" encoding="utf-8"?>
<ds:datastoreItem xmlns:ds="http://schemas.openxmlformats.org/officeDocument/2006/customXml" ds:itemID="{13874CD4-F89A-4A7A-8ED2-F5CC942E1243}"/>
</file>

<file path=customXml/itemProps3.xml><?xml version="1.0" encoding="utf-8"?>
<ds:datastoreItem xmlns:ds="http://schemas.openxmlformats.org/officeDocument/2006/customXml" ds:itemID="{D4B513EA-D09B-4454-AA40-0D5BF3827C30}"/>
</file>

<file path=customXml/itemProps4.xml><?xml version="1.0" encoding="utf-8"?>
<ds:datastoreItem xmlns:ds="http://schemas.openxmlformats.org/officeDocument/2006/customXml" ds:itemID="{D4D95205-525D-42AD-A7A3-D0972D4AC689}"/>
</file>

<file path=customXml/itemProps5.xml><?xml version="1.0" encoding="utf-8"?>
<ds:datastoreItem xmlns:ds="http://schemas.openxmlformats.org/officeDocument/2006/customXml" ds:itemID="{C9A10FA3-2733-448A-B4DB-93380041520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to provide income incentive to individually and cumulatively large research grant holders</dc:title>
  <dc:creator>Jo,Garrad</dc:creator>
  <cp:keywords>Scheme to provide income incentive to individually and cumulatively large research grant holders</cp:keywords>
  <cp:lastModifiedBy>Paul,Lynch</cp:lastModifiedBy>
  <cp:revision>2</cp:revision>
  <cp:lastPrinted>2018-03-06T12:22:00Z</cp:lastPrinted>
  <dcterms:created xsi:type="dcterms:W3CDTF">2018-07-03T14:25:00Z</dcterms:created>
  <dcterms:modified xsi:type="dcterms:W3CDTF">2018-07-03T14:25:00Z</dcterms:modified>
  <cp:contentStatus>Research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91ba4939-0f1c-4467-992b-b4b33afaa0a0</vt:lpwstr>
  </property>
</Properties>
</file>